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3958A" w14:textId="77777777" w:rsidR="009D02A4" w:rsidRDefault="009D02A4" w:rsidP="009D02A4">
      <w:pPr>
        <w:rPr>
          <w:rFonts w:cs="Arial"/>
          <w:b/>
          <w:szCs w:val="20"/>
        </w:rPr>
      </w:pPr>
      <w:r>
        <w:rPr>
          <w:rFonts w:cs="Arial"/>
          <w:b/>
          <w:szCs w:val="20"/>
        </w:rPr>
        <w:t xml:space="preserve">Фамилия переводчика </w:t>
      </w:r>
      <w:r>
        <w:rPr>
          <w:rFonts w:cs="Arial"/>
          <w:b/>
          <w:szCs w:val="20"/>
          <w:u w:val="single"/>
        </w:rPr>
        <w:t>_______________________________</w:t>
      </w:r>
    </w:p>
    <w:p w14:paraId="41ECD8C7" w14:textId="77777777" w:rsidR="009D02A4" w:rsidRDefault="009D02A4" w:rsidP="009D02A4">
      <w:pPr>
        <w:rPr>
          <w:rFonts w:cs="Arial"/>
          <w:b/>
          <w:i/>
          <w:szCs w:val="20"/>
        </w:rPr>
      </w:pPr>
      <w:r>
        <w:rPr>
          <w:rFonts w:cs="Arial"/>
          <w:b/>
          <w:szCs w:val="20"/>
        </w:rPr>
        <w:t>Направление перевода: Английский-&gt;Русский</w:t>
      </w:r>
    </w:p>
    <w:p w14:paraId="364517B2" w14:textId="70C57C64" w:rsidR="009D02A4" w:rsidRPr="009D02A4" w:rsidRDefault="009D02A4" w:rsidP="009D02A4">
      <w:pPr>
        <w:rPr>
          <w:rStyle w:val="a4"/>
          <w:rFonts w:ascii="Arial" w:hAnsi="Arial" w:cs="Arial"/>
          <w:bCs/>
          <w:lang w:val="en-US"/>
        </w:rPr>
      </w:pPr>
      <w:r>
        <w:rPr>
          <w:rFonts w:cs="Arial"/>
          <w:b/>
          <w:szCs w:val="20"/>
        </w:rPr>
        <w:t>Предметная область:</w:t>
      </w:r>
      <w:r>
        <w:rPr>
          <w:rStyle w:val="a4"/>
          <w:rFonts w:cs="Arial"/>
          <w:bCs/>
          <w:i/>
          <w:szCs w:val="20"/>
        </w:rPr>
        <w:t xml:space="preserve"> </w:t>
      </w:r>
      <w:r>
        <w:rPr>
          <w:rStyle w:val="a4"/>
          <w:rFonts w:cs="Arial"/>
          <w:bCs/>
          <w:i/>
          <w:szCs w:val="20"/>
          <w:lang w:val="en-US"/>
        </w:rPr>
        <w:t xml:space="preserve"> </w:t>
      </w:r>
      <w:proofErr w:type="spellStart"/>
      <w:r w:rsidR="001264CE">
        <w:rPr>
          <w:rStyle w:val="a4"/>
          <w:rFonts w:cs="Arial"/>
          <w:bCs/>
          <w:i/>
          <w:sz w:val="24"/>
          <w:szCs w:val="24"/>
          <w:lang w:val="en-US"/>
        </w:rPr>
        <w:t>л</w:t>
      </w:r>
      <w:bookmarkStart w:id="0" w:name="_GoBack"/>
      <w:bookmarkEnd w:id="0"/>
      <w:r w:rsidRPr="009D02A4">
        <w:rPr>
          <w:rStyle w:val="a4"/>
          <w:rFonts w:cs="Arial"/>
          <w:bCs/>
          <w:i/>
          <w:sz w:val="24"/>
          <w:szCs w:val="24"/>
          <w:lang w:val="en-US"/>
        </w:rPr>
        <w:t>учевая</w:t>
      </w:r>
      <w:proofErr w:type="spellEnd"/>
      <w:r w:rsidRPr="009D02A4">
        <w:rPr>
          <w:rStyle w:val="a4"/>
          <w:rFonts w:cs="Arial"/>
          <w:bCs/>
          <w:i/>
          <w:sz w:val="24"/>
          <w:szCs w:val="24"/>
          <w:lang w:val="en-US"/>
        </w:rPr>
        <w:t xml:space="preserve"> </w:t>
      </w:r>
      <w:proofErr w:type="spellStart"/>
      <w:r w:rsidRPr="009D02A4">
        <w:rPr>
          <w:rStyle w:val="a4"/>
          <w:rFonts w:cs="Arial"/>
          <w:bCs/>
          <w:i/>
          <w:sz w:val="24"/>
          <w:szCs w:val="24"/>
          <w:lang w:val="en-US"/>
        </w:rPr>
        <w:t>диагностика</w:t>
      </w:r>
      <w:proofErr w:type="spellEnd"/>
    </w:p>
    <w:p w14:paraId="13AAD37F" w14:textId="77777777" w:rsidR="009D02A4" w:rsidRDefault="009D02A4" w:rsidP="009D02A4">
      <w:r>
        <w:rPr>
          <w:rFonts w:cs="Arial"/>
          <w:b/>
          <w:i/>
          <w:szCs w:val="20"/>
        </w:rPr>
        <w:t>Примечание 1:</w:t>
      </w:r>
      <w:r>
        <w:rPr>
          <w:rFonts w:cs="Arial"/>
          <w:i/>
          <w:szCs w:val="20"/>
        </w:rPr>
        <w:t xml:space="preserve"> Необходимо сделать перевод приведенного ниже фрагмента текста</w:t>
      </w:r>
    </w:p>
    <w:p w14:paraId="1B805BB9" w14:textId="77777777" w:rsidR="009D02A4" w:rsidRDefault="009D02A4" w:rsidP="009D02A4">
      <w:pPr>
        <w:rPr>
          <w:rFonts w:cs="Arial"/>
          <w:snapToGrid w:val="0"/>
          <w:szCs w:val="20"/>
        </w:rPr>
      </w:pPr>
      <w:r>
        <w:rPr>
          <w:rFonts w:cs="Arial"/>
          <w:b/>
          <w:i/>
          <w:szCs w:val="20"/>
        </w:rPr>
        <w:t>Примечание 2:</w:t>
      </w:r>
      <w:r>
        <w:rPr>
          <w:rFonts w:cs="Arial"/>
          <w:i/>
          <w:szCs w:val="20"/>
        </w:rPr>
        <w:t xml:space="preserve"> Перевод текста размещается </w:t>
      </w:r>
      <w:r>
        <w:rPr>
          <w:rFonts w:cs="Arial"/>
          <w:i/>
          <w:snapToGrid w:val="0"/>
          <w:szCs w:val="20"/>
        </w:rPr>
        <w:t>в соответствующий столбец</w:t>
      </w:r>
      <w:r>
        <w:rPr>
          <w:rFonts w:cs="Arial"/>
          <w:snapToGrid w:val="0"/>
          <w:szCs w:val="20"/>
        </w:rPr>
        <w:t>.</w:t>
      </w:r>
    </w:p>
    <w:p w14:paraId="43E78EF3" w14:textId="77777777" w:rsidR="009D02A4" w:rsidRPr="009D02A4" w:rsidRDefault="009D02A4"/>
    <w:p w14:paraId="2563CBE2" w14:textId="77777777" w:rsidR="009D02A4" w:rsidRPr="009D02A4" w:rsidRDefault="009D02A4"/>
    <w:tbl>
      <w:tblPr>
        <w:tblStyle w:val="a3"/>
        <w:tblW w:w="0" w:type="auto"/>
        <w:tblLook w:val="04A0" w:firstRow="1" w:lastRow="0" w:firstColumn="1" w:lastColumn="0" w:noHBand="0" w:noVBand="1"/>
      </w:tblPr>
      <w:tblGrid>
        <w:gridCol w:w="4503"/>
        <w:gridCol w:w="4503"/>
      </w:tblGrid>
      <w:tr w:rsidR="00D85E19" w:rsidRPr="001264CE" w14:paraId="4B396B54" w14:textId="1F4235E0" w:rsidTr="00845031">
        <w:tc>
          <w:tcPr>
            <w:tcW w:w="4503" w:type="dxa"/>
          </w:tcPr>
          <w:p w14:paraId="5F788FA9" w14:textId="77777777" w:rsidR="00D85E19" w:rsidRPr="008D56E7" w:rsidRDefault="00D85E19" w:rsidP="003838B6">
            <w:pPr>
              <w:rPr>
                <w:rFonts w:ascii="Verdana" w:hAnsi="Verdana" w:cs="Verdana"/>
                <w:sz w:val="18"/>
                <w:szCs w:val="18"/>
                <w:lang w:val="en-US"/>
              </w:rPr>
            </w:pPr>
            <w:r w:rsidRPr="008D56E7">
              <w:rPr>
                <w:rFonts w:ascii="Verdana" w:hAnsi="Verdana" w:cs="Verdana"/>
                <w:sz w:val="18"/>
                <w:szCs w:val="18"/>
                <w:lang w:val="en-US"/>
              </w:rPr>
              <w:t xml:space="preserve">We analyzed the </w:t>
            </w:r>
            <w:proofErr w:type="spellStart"/>
            <w:r w:rsidRPr="008D56E7">
              <w:rPr>
                <w:rFonts w:ascii="Verdana" w:hAnsi="Verdana" w:cs="Verdana"/>
                <w:sz w:val="18"/>
                <w:szCs w:val="18"/>
                <w:lang w:val="en-US"/>
              </w:rPr>
              <w:t>CCTA</w:t>
            </w:r>
            <w:proofErr w:type="spellEnd"/>
            <w:r w:rsidRPr="008D56E7">
              <w:rPr>
                <w:rFonts w:ascii="Verdana" w:hAnsi="Verdana" w:cs="Verdana"/>
                <w:sz w:val="18"/>
                <w:szCs w:val="18"/>
                <w:lang w:val="en-US"/>
              </w:rPr>
              <w:t xml:space="preserve"> data of 543 unselected consecutive patients with suspected CAD. The median effective radiation dose was 0.88 </w:t>
            </w:r>
            <w:proofErr w:type="spellStart"/>
            <w:r w:rsidRPr="008D56E7">
              <w:rPr>
                <w:rFonts w:ascii="Verdana" w:hAnsi="Verdana" w:cs="Verdana"/>
                <w:sz w:val="18"/>
                <w:szCs w:val="18"/>
                <w:lang w:val="en-US"/>
              </w:rPr>
              <w:t>mSv</w:t>
            </w:r>
            <w:proofErr w:type="spellEnd"/>
            <w:r w:rsidRPr="008D56E7">
              <w:rPr>
                <w:rFonts w:ascii="Verdana" w:hAnsi="Verdana" w:cs="Verdana"/>
                <w:sz w:val="18"/>
                <w:szCs w:val="18"/>
                <w:lang w:val="en-US"/>
              </w:rPr>
              <w:t xml:space="preserve"> (</w:t>
            </w:r>
            <w:proofErr w:type="spellStart"/>
            <w:r w:rsidRPr="008D56E7">
              <w:rPr>
                <w:rFonts w:ascii="Verdana" w:hAnsi="Verdana" w:cs="Verdana"/>
                <w:sz w:val="18"/>
                <w:szCs w:val="18"/>
                <w:lang w:val="en-US"/>
              </w:rPr>
              <w:t>IQR</w:t>
            </w:r>
            <w:proofErr w:type="spellEnd"/>
            <w:r w:rsidRPr="008D56E7">
              <w:rPr>
                <w:rFonts w:ascii="Verdana" w:hAnsi="Verdana" w:cs="Verdana"/>
                <w:sz w:val="18"/>
                <w:szCs w:val="18"/>
                <w:lang w:val="en-US"/>
              </w:rPr>
              <w:t xml:space="preserve">, 0.6-1.4 </w:t>
            </w:r>
            <w:proofErr w:type="spellStart"/>
            <w:r w:rsidRPr="008D56E7">
              <w:rPr>
                <w:rFonts w:ascii="Verdana" w:hAnsi="Verdana" w:cs="Verdana"/>
                <w:sz w:val="18"/>
                <w:szCs w:val="18"/>
                <w:lang w:val="en-US"/>
              </w:rPr>
              <w:t>mSv</w:t>
            </w:r>
            <w:proofErr w:type="spellEnd"/>
            <w:r w:rsidRPr="008D56E7">
              <w:rPr>
                <w:rFonts w:ascii="Verdana" w:hAnsi="Verdana" w:cs="Verdana"/>
                <w:sz w:val="18"/>
                <w:szCs w:val="18"/>
                <w:lang w:val="en-US"/>
              </w:rPr>
              <w:t xml:space="preserve">) with diagnostic image quality in 99% of patients, verifying that sub-millisievert radiation doses are possible in unselected, real-world patients undergoing </w:t>
            </w:r>
            <w:proofErr w:type="spellStart"/>
            <w:r w:rsidRPr="008D56E7">
              <w:rPr>
                <w:rFonts w:ascii="Verdana" w:hAnsi="Verdana" w:cs="Verdana"/>
                <w:sz w:val="18"/>
                <w:szCs w:val="18"/>
                <w:lang w:val="en-US"/>
              </w:rPr>
              <w:t>CCTA</w:t>
            </w:r>
            <w:proofErr w:type="spellEnd"/>
            <w:r w:rsidRPr="008D56E7">
              <w:rPr>
                <w:rFonts w:ascii="Verdana" w:hAnsi="Verdana" w:cs="Verdana"/>
                <w:sz w:val="18"/>
                <w:szCs w:val="18"/>
                <w:lang w:val="en-US"/>
              </w:rPr>
              <w:t>.</w:t>
            </w:r>
          </w:p>
        </w:tc>
        <w:tc>
          <w:tcPr>
            <w:tcW w:w="4503" w:type="dxa"/>
          </w:tcPr>
          <w:p w14:paraId="4A198FD1" w14:textId="77777777" w:rsidR="00D85E19" w:rsidRPr="008D56E7" w:rsidRDefault="00D85E19" w:rsidP="003838B6">
            <w:pPr>
              <w:rPr>
                <w:rFonts w:ascii="Verdana" w:hAnsi="Verdana" w:cs="Verdana"/>
                <w:sz w:val="18"/>
                <w:szCs w:val="18"/>
                <w:lang w:val="en-US"/>
              </w:rPr>
            </w:pPr>
          </w:p>
        </w:tc>
      </w:tr>
      <w:tr w:rsidR="00D85E19" w:rsidRPr="001264CE" w14:paraId="7DEDAF7D" w14:textId="51AF1CAB" w:rsidTr="00845031">
        <w:tc>
          <w:tcPr>
            <w:tcW w:w="4503" w:type="dxa"/>
          </w:tcPr>
          <w:p w14:paraId="74D7647B" w14:textId="77777777" w:rsidR="00D85E19" w:rsidRPr="008D56E7" w:rsidRDefault="00D85E19" w:rsidP="003838B6">
            <w:pPr>
              <w:rPr>
                <w:rFonts w:ascii="Verdana" w:hAnsi="Verdana" w:cs="Verdana"/>
                <w:sz w:val="18"/>
                <w:szCs w:val="18"/>
                <w:lang w:val="en-US"/>
              </w:rPr>
            </w:pPr>
            <w:r w:rsidRPr="008D56E7">
              <w:rPr>
                <w:rFonts w:ascii="Verdana" w:hAnsi="Verdana" w:cs="Verdana"/>
                <w:sz w:val="18"/>
                <w:szCs w:val="18"/>
                <w:lang w:val="en-US"/>
              </w:rPr>
              <w:t>A number of integrated strategies were used to achieve this consistently low dose, including; prospective ECG-gated acquisition, lowest possible tube current and voltage, IR (AIDR3D) and meticulous attention to patient preparation, both pre scan (heart rate control) and during the scan (reduction in volume of coverage to minimal size possible whilst allowing complete acquisition in a single volume.</w:t>
            </w:r>
          </w:p>
        </w:tc>
        <w:tc>
          <w:tcPr>
            <w:tcW w:w="4503" w:type="dxa"/>
          </w:tcPr>
          <w:p w14:paraId="45EB9A7F" w14:textId="77777777" w:rsidR="00D85E19" w:rsidRPr="008D56E7" w:rsidRDefault="00D85E19" w:rsidP="003838B6">
            <w:pPr>
              <w:rPr>
                <w:rFonts w:ascii="Verdana" w:hAnsi="Verdana" w:cs="Verdana"/>
                <w:sz w:val="18"/>
                <w:szCs w:val="18"/>
                <w:lang w:val="en-US"/>
              </w:rPr>
            </w:pPr>
          </w:p>
        </w:tc>
      </w:tr>
      <w:tr w:rsidR="00D85E19" w:rsidRPr="001264CE" w14:paraId="727CB39B" w14:textId="7A92D3D3" w:rsidTr="00845031">
        <w:tc>
          <w:tcPr>
            <w:tcW w:w="4503" w:type="dxa"/>
          </w:tcPr>
          <w:p w14:paraId="2272398F" w14:textId="77777777" w:rsidR="00D85E19" w:rsidRPr="008D56E7" w:rsidRDefault="00D85E19" w:rsidP="003838B6">
            <w:pPr>
              <w:rPr>
                <w:rFonts w:ascii="Verdana" w:hAnsi="Verdana" w:cs="Verdana"/>
                <w:sz w:val="18"/>
                <w:szCs w:val="18"/>
                <w:lang w:val="en-US"/>
              </w:rPr>
            </w:pPr>
            <w:r w:rsidRPr="008D56E7">
              <w:rPr>
                <w:rFonts w:ascii="Verdana" w:hAnsi="Verdana" w:cs="Verdana"/>
                <w:sz w:val="18"/>
                <w:szCs w:val="18"/>
                <w:lang w:val="en-US"/>
              </w:rPr>
              <w:t>BMI-adapted tube voltage and current work synergistically with AIDR3D to reduce image noise while achieving a 75% radiation dose reduction relative to a scan reconstructed with filtered back-projection</w:t>
            </w:r>
            <w:r w:rsidRPr="008D56E7">
              <w:rPr>
                <w:rFonts w:ascii="Verdana" w:hAnsi="Verdana" w:cs="Verdana"/>
                <w:sz w:val="10"/>
                <w:szCs w:val="10"/>
                <w:lang w:val="en-US"/>
              </w:rPr>
              <w:t>[16]</w:t>
            </w:r>
            <w:r w:rsidRPr="008D56E7">
              <w:rPr>
                <w:rFonts w:ascii="Verdana" w:hAnsi="Verdana" w:cs="Verdana"/>
                <w:sz w:val="18"/>
                <w:szCs w:val="18"/>
                <w:lang w:val="en-US"/>
              </w:rPr>
              <w:t>. Patient irradiation is further limited by decreasing the craniocaudal field of view to the minimum required following analysis of the scout view</w:t>
            </w:r>
            <w:r w:rsidRPr="008D56E7">
              <w:rPr>
                <w:rFonts w:ascii="Verdana" w:hAnsi="Verdana" w:cs="Verdana"/>
                <w:sz w:val="10"/>
                <w:szCs w:val="10"/>
                <w:lang w:val="en-US"/>
              </w:rPr>
              <w:t>[17]</w:t>
            </w:r>
            <w:r w:rsidRPr="008D56E7">
              <w:rPr>
                <w:rFonts w:ascii="Verdana" w:hAnsi="Verdana" w:cs="Verdana"/>
                <w:sz w:val="18"/>
                <w:szCs w:val="18"/>
                <w:lang w:val="en-US"/>
              </w:rPr>
              <w:t>.</w:t>
            </w:r>
          </w:p>
        </w:tc>
        <w:tc>
          <w:tcPr>
            <w:tcW w:w="4503" w:type="dxa"/>
          </w:tcPr>
          <w:p w14:paraId="6DD52FC0" w14:textId="77777777" w:rsidR="00D85E19" w:rsidRPr="008D56E7" w:rsidRDefault="00D85E19" w:rsidP="003838B6">
            <w:pPr>
              <w:rPr>
                <w:rFonts w:ascii="Verdana" w:hAnsi="Verdana" w:cs="Verdana"/>
                <w:sz w:val="18"/>
                <w:szCs w:val="18"/>
                <w:lang w:val="en-US"/>
              </w:rPr>
            </w:pPr>
          </w:p>
        </w:tc>
      </w:tr>
      <w:tr w:rsidR="00D85E19" w:rsidRPr="001264CE" w14:paraId="13A52641" w14:textId="2695BA62" w:rsidTr="00845031">
        <w:tc>
          <w:tcPr>
            <w:tcW w:w="4503" w:type="dxa"/>
          </w:tcPr>
          <w:p w14:paraId="35033779" w14:textId="77777777" w:rsidR="00D85E19" w:rsidRPr="008D56E7" w:rsidRDefault="00D85E19" w:rsidP="003838B6">
            <w:pPr>
              <w:rPr>
                <w:rFonts w:ascii="Verdana" w:hAnsi="Verdana" w:cs="Verdana"/>
                <w:sz w:val="18"/>
                <w:szCs w:val="18"/>
                <w:lang w:val="en-US"/>
              </w:rPr>
            </w:pPr>
            <w:r w:rsidRPr="008D56E7">
              <w:rPr>
                <w:rFonts w:ascii="Verdana" w:hAnsi="Verdana" w:cs="Verdana"/>
                <w:sz w:val="18"/>
                <w:szCs w:val="18"/>
                <w:lang w:val="en-US"/>
              </w:rPr>
              <w:t xml:space="preserve">We achieved comparable X-ray doses in our real world population to Chen </w:t>
            </w:r>
            <w:r w:rsidRPr="008D56E7">
              <w:rPr>
                <w:rFonts w:ascii="Verdana-Italic" w:hAnsi="Verdana-Italic" w:cs="Verdana-Italic"/>
                <w:i/>
                <w:iCs/>
                <w:sz w:val="18"/>
                <w:szCs w:val="18"/>
                <w:lang w:val="en-US"/>
              </w:rPr>
              <w:t>et al</w:t>
            </w:r>
            <w:r w:rsidRPr="008D56E7">
              <w:rPr>
                <w:rFonts w:ascii="Verdana" w:hAnsi="Verdana" w:cs="Verdana"/>
                <w:sz w:val="10"/>
                <w:szCs w:val="10"/>
                <w:lang w:val="en-US"/>
              </w:rPr>
              <w:t xml:space="preserve">[19] </w:t>
            </w:r>
            <w:r w:rsidRPr="008D56E7">
              <w:rPr>
                <w:rFonts w:ascii="Verdana" w:hAnsi="Verdana" w:cs="Verdana"/>
                <w:sz w:val="18"/>
                <w:szCs w:val="18"/>
                <w:lang w:val="en-US"/>
              </w:rPr>
              <w:t>using a 320-detector CT scanner despite a slower gantry rotation speed ( 35</w:t>
            </w:r>
            <w:r>
              <w:rPr>
                <w:rFonts w:ascii="Verdana" w:hAnsi="Verdana" w:cs="Verdana"/>
                <w:sz w:val="18"/>
                <w:szCs w:val="18"/>
                <w:lang w:val="en-US"/>
              </w:rPr>
              <w:t>,</w:t>
            </w:r>
            <w:r w:rsidRPr="008D56E7">
              <w:rPr>
                <w:rFonts w:ascii="Verdana" w:hAnsi="Verdana" w:cs="Verdana"/>
                <w:sz w:val="18"/>
                <w:szCs w:val="18"/>
                <w:lang w:val="en-US"/>
              </w:rPr>
              <w:t xml:space="preserve">0 </w:t>
            </w:r>
            <w:proofErr w:type="spellStart"/>
            <w:r w:rsidRPr="008D56E7">
              <w:rPr>
                <w:rFonts w:ascii="Verdana" w:hAnsi="Verdana" w:cs="Verdana"/>
                <w:sz w:val="18"/>
                <w:szCs w:val="18"/>
                <w:lang w:val="en-US"/>
              </w:rPr>
              <w:t>ms</w:t>
            </w:r>
            <w:proofErr w:type="spellEnd"/>
            <w:r w:rsidRPr="008D56E7">
              <w:rPr>
                <w:rFonts w:ascii="Verdana" w:hAnsi="Verdana" w:cs="Verdana"/>
                <w:sz w:val="18"/>
                <w:szCs w:val="18"/>
                <w:lang w:val="en-US"/>
              </w:rPr>
              <w:t xml:space="preserve"> </w:t>
            </w:r>
            <w:r w:rsidRPr="008D56E7">
              <w:rPr>
                <w:rFonts w:ascii="Verdana-Italic" w:hAnsi="Verdana-Italic" w:cs="Verdana-Italic"/>
                <w:i/>
                <w:iCs/>
                <w:sz w:val="18"/>
                <w:szCs w:val="18"/>
                <w:lang w:val="en-US"/>
              </w:rPr>
              <w:t xml:space="preserve">vs </w:t>
            </w:r>
            <w:r w:rsidRPr="008D56E7">
              <w:rPr>
                <w:rFonts w:ascii="Verdana" w:hAnsi="Verdana" w:cs="Verdana"/>
                <w:sz w:val="18"/>
                <w:szCs w:val="18"/>
                <w:lang w:val="en-US"/>
              </w:rPr>
              <w:t xml:space="preserve">275 </w:t>
            </w:r>
            <w:proofErr w:type="spellStart"/>
            <w:r w:rsidRPr="008D56E7">
              <w:rPr>
                <w:rFonts w:ascii="Verdana" w:hAnsi="Verdana" w:cs="Verdana"/>
                <w:sz w:val="18"/>
                <w:szCs w:val="18"/>
                <w:lang w:val="en-US"/>
              </w:rPr>
              <w:t>ms</w:t>
            </w:r>
            <w:proofErr w:type="spellEnd"/>
            <w:r w:rsidRPr="008D56E7">
              <w:rPr>
                <w:rFonts w:ascii="Verdana" w:hAnsi="Verdana" w:cs="Verdana"/>
                <w:sz w:val="18"/>
                <w:szCs w:val="18"/>
                <w:lang w:val="en-US"/>
              </w:rPr>
              <w:t xml:space="preserve"> due to the aggressive measures to control heart rate, with 65% of patients receiving b</w:t>
            </w:r>
            <w:r>
              <w:rPr>
                <w:rFonts w:ascii="Verdana" w:hAnsi="Verdana" w:cs="Verdana"/>
                <w:sz w:val="18"/>
                <w:szCs w:val="18"/>
                <w:lang w:val="en-US"/>
              </w:rPr>
              <w:t>-</w:t>
            </w:r>
            <w:r w:rsidRPr="008D56E7">
              <w:rPr>
                <w:rFonts w:ascii="Verdana" w:hAnsi="Verdana" w:cs="Verdana"/>
                <w:sz w:val="18"/>
                <w:szCs w:val="18"/>
                <w:lang w:val="en-US"/>
              </w:rPr>
              <w:t xml:space="preserve">blockers [either oral only (15%), </w:t>
            </w:r>
            <w:proofErr w:type="spellStart"/>
            <w:r w:rsidRPr="008D56E7">
              <w:rPr>
                <w:rFonts w:ascii="Verdana" w:hAnsi="Verdana" w:cs="Verdana"/>
                <w:sz w:val="18"/>
                <w:szCs w:val="18"/>
                <w:lang w:val="en-US"/>
              </w:rPr>
              <w:t>iv</w:t>
            </w:r>
            <w:proofErr w:type="spellEnd"/>
            <w:r w:rsidRPr="008D56E7">
              <w:rPr>
                <w:rFonts w:ascii="Verdana" w:hAnsi="Verdana" w:cs="Verdana"/>
                <w:sz w:val="18"/>
                <w:szCs w:val="18"/>
                <w:lang w:val="en-US"/>
              </w:rPr>
              <w:t xml:space="preserve"> only (27%) or both (23%)] and 85% of patients achieving a heart rate &lt; 65 bpm. Moreover, we have demonstrated what we believe is the lowest ever-recorded effective dose of 0.18 mSv with a subjective image quality score of 4 (“excellent”) from a study of real-world unselected patients.</w:t>
            </w:r>
          </w:p>
        </w:tc>
        <w:tc>
          <w:tcPr>
            <w:tcW w:w="4503" w:type="dxa"/>
          </w:tcPr>
          <w:p w14:paraId="591C0F27" w14:textId="77777777" w:rsidR="00D85E19" w:rsidRPr="008D56E7" w:rsidRDefault="00D85E19" w:rsidP="003838B6">
            <w:pPr>
              <w:rPr>
                <w:rFonts w:ascii="Verdana" w:hAnsi="Verdana" w:cs="Verdana"/>
                <w:sz w:val="18"/>
                <w:szCs w:val="18"/>
                <w:lang w:val="en-US"/>
              </w:rPr>
            </w:pPr>
          </w:p>
        </w:tc>
      </w:tr>
      <w:tr w:rsidR="00D85E19" w:rsidRPr="001264CE" w14:paraId="409FA130" w14:textId="247E24EF" w:rsidTr="00845031">
        <w:tc>
          <w:tcPr>
            <w:tcW w:w="4503" w:type="dxa"/>
          </w:tcPr>
          <w:p w14:paraId="41B949E1" w14:textId="77777777" w:rsidR="00D85E19" w:rsidRPr="00AC39C8" w:rsidRDefault="00D85E19" w:rsidP="003838B6">
            <w:pPr>
              <w:rPr>
                <w:rFonts w:ascii="Verdana" w:hAnsi="Verdana" w:cs="Verdana"/>
                <w:sz w:val="18"/>
                <w:szCs w:val="18"/>
                <w:lang w:val="en-US"/>
              </w:rPr>
            </w:pPr>
            <w:r w:rsidRPr="00AC39C8">
              <w:rPr>
                <w:rFonts w:ascii="Verdana" w:hAnsi="Verdana" w:cs="Verdana"/>
                <w:sz w:val="18"/>
                <w:szCs w:val="18"/>
                <w:lang w:val="en-US"/>
              </w:rPr>
              <w:t>This study did not include patients with atrial fibrillation or other cardiac CT indications such as evaluation of coronary bypass grafts, evaluation of left atrium anatomy prior to atrial fibrillation ablation, pre-operative assessment for trans-catheter aortic valve replacement or assessment of cardiac function.</w:t>
            </w:r>
          </w:p>
        </w:tc>
        <w:tc>
          <w:tcPr>
            <w:tcW w:w="4503" w:type="dxa"/>
          </w:tcPr>
          <w:p w14:paraId="165BAF88" w14:textId="77777777" w:rsidR="00D85E19" w:rsidRPr="00AC39C8" w:rsidRDefault="00D85E19" w:rsidP="003838B6">
            <w:pPr>
              <w:rPr>
                <w:rFonts w:ascii="Verdana" w:hAnsi="Verdana" w:cs="Verdana"/>
                <w:sz w:val="18"/>
                <w:szCs w:val="18"/>
                <w:lang w:val="en-US"/>
              </w:rPr>
            </w:pPr>
          </w:p>
        </w:tc>
      </w:tr>
    </w:tbl>
    <w:p w14:paraId="46F78C53" w14:textId="77777777" w:rsidR="00EE1C42" w:rsidRPr="009D02A4" w:rsidRDefault="00AC39C8" w:rsidP="008D56E7">
      <w:pPr>
        <w:rPr>
          <w:lang w:val="en-US"/>
        </w:rPr>
      </w:pPr>
      <w:r w:rsidRPr="009D02A4">
        <w:rPr>
          <w:lang w:val="en-US"/>
        </w:rPr>
        <w:t xml:space="preserve"> </w:t>
      </w:r>
    </w:p>
    <w:sectPr w:rsidR="00EE1C42" w:rsidRPr="009D02A4" w:rsidSect="000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Verdana-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sDQ1MzKwALJNjZV0lIJTi4sz8/NACoxqAUslVLwsAAAA"/>
  </w:docVars>
  <w:rsids>
    <w:rsidRoot w:val="00EE1C42"/>
    <w:rsid w:val="000F0A3A"/>
    <w:rsid w:val="001264CE"/>
    <w:rsid w:val="00166C06"/>
    <w:rsid w:val="003838B6"/>
    <w:rsid w:val="005B451B"/>
    <w:rsid w:val="00742679"/>
    <w:rsid w:val="008D56E7"/>
    <w:rsid w:val="009D02A4"/>
    <w:rsid w:val="00AC39C8"/>
    <w:rsid w:val="00AC4463"/>
    <w:rsid w:val="00B21E10"/>
    <w:rsid w:val="00D22A47"/>
    <w:rsid w:val="00D85E19"/>
    <w:rsid w:val="00EE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D02A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D02A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MTeditor</dc:creator>
  <cp:lastModifiedBy>NewVendor</cp:lastModifiedBy>
  <cp:revision>4</cp:revision>
  <dcterms:created xsi:type="dcterms:W3CDTF">2019-07-11T14:51:00Z</dcterms:created>
  <dcterms:modified xsi:type="dcterms:W3CDTF">2020-07-13T09:29:00Z</dcterms:modified>
</cp:coreProperties>
</file>