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B" w:rsidRPr="005B0FB1" w:rsidRDefault="00353F6B" w:rsidP="00353F6B">
      <w:pPr>
        <w:rPr>
          <w:rFonts w:ascii="Arial" w:hAnsi="Arial" w:cs="Arial"/>
          <w:b/>
          <w:sz w:val="20"/>
          <w:szCs w:val="20"/>
        </w:rPr>
      </w:pPr>
      <w:r w:rsidRPr="005B0FB1">
        <w:rPr>
          <w:rFonts w:ascii="Arial" w:hAnsi="Arial" w:cs="Arial"/>
          <w:b/>
          <w:sz w:val="20"/>
          <w:szCs w:val="20"/>
        </w:rPr>
        <w:t xml:space="preserve">Фамилия переводчика </w:t>
      </w:r>
      <w:r w:rsidRPr="005B0FB1">
        <w:rPr>
          <w:rFonts w:ascii="Arial" w:hAnsi="Arial" w:cs="Arial"/>
          <w:b/>
          <w:sz w:val="20"/>
          <w:szCs w:val="20"/>
          <w:u w:val="single"/>
        </w:rPr>
        <w:t>_______________________________</w:t>
      </w:r>
    </w:p>
    <w:p w:rsidR="00353F6B" w:rsidRPr="009C0D99" w:rsidRDefault="00353F6B" w:rsidP="00353F6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Направление перевода</w:t>
      </w:r>
      <w:r w:rsidRPr="005B0FB1">
        <w:rPr>
          <w:rFonts w:ascii="Arial" w:hAnsi="Arial" w:cs="Arial"/>
          <w:b/>
          <w:sz w:val="20"/>
          <w:szCs w:val="20"/>
        </w:rPr>
        <w:t xml:space="preserve">: </w:t>
      </w:r>
      <w:r w:rsidRPr="005B0FB1">
        <w:rPr>
          <w:rFonts w:ascii="Arial" w:hAnsi="Arial" w:cs="Arial"/>
          <w:i/>
          <w:sz w:val="20"/>
          <w:szCs w:val="20"/>
        </w:rPr>
        <w:t>английский</w:t>
      </w:r>
      <w:r>
        <w:rPr>
          <w:rFonts w:ascii="Arial" w:hAnsi="Arial" w:cs="Arial"/>
          <w:i/>
          <w:sz w:val="20"/>
          <w:szCs w:val="20"/>
        </w:rPr>
        <w:t>-</w:t>
      </w:r>
      <w:r w:rsidRPr="009C0D99">
        <w:rPr>
          <w:rFonts w:ascii="Arial" w:hAnsi="Arial" w:cs="Arial"/>
          <w:i/>
          <w:sz w:val="20"/>
          <w:szCs w:val="20"/>
        </w:rPr>
        <w:t>&gt;</w:t>
      </w:r>
      <w:r>
        <w:rPr>
          <w:rFonts w:ascii="Arial" w:hAnsi="Arial" w:cs="Arial"/>
          <w:i/>
          <w:sz w:val="20"/>
          <w:szCs w:val="20"/>
        </w:rPr>
        <w:t>русский</w:t>
      </w:r>
    </w:p>
    <w:p w:rsidR="00353F6B" w:rsidRPr="000D0632" w:rsidRDefault="00353F6B" w:rsidP="00353F6B">
      <w:pPr>
        <w:rPr>
          <w:rStyle w:val="a4"/>
          <w:rFonts w:ascii="Arial" w:hAnsi="Arial" w:cs="Arial"/>
          <w:bCs/>
          <w:i/>
          <w:sz w:val="20"/>
          <w:szCs w:val="20"/>
        </w:rPr>
      </w:pPr>
      <w:r w:rsidRPr="005B0FB1">
        <w:rPr>
          <w:rFonts w:ascii="Arial" w:hAnsi="Arial" w:cs="Arial"/>
          <w:b/>
          <w:sz w:val="20"/>
          <w:szCs w:val="20"/>
        </w:rPr>
        <w:t>Предметная область:</w:t>
      </w:r>
      <w:r w:rsidRPr="005B0FB1">
        <w:rPr>
          <w:rStyle w:val="a4"/>
          <w:rFonts w:ascii="Arial" w:hAnsi="Arial" w:cs="Arial"/>
          <w:bCs/>
          <w:i/>
          <w:sz w:val="20"/>
          <w:szCs w:val="20"/>
        </w:rPr>
        <w:t xml:space="preserve"> </w:t>
      </w:r>
      <w:r w:rsidR="000D0632">
        <w:rPr>
          <w:rFonts w:ascii="Arial" w:hAnsi="Arial" w:cs="Arial"/>
          <w:i/>
          <w:sz w:val="20"/>
          <w:szCs w:val="20"/>
        </w:rPr>
        <w:t>ИТ + бизнес</w:t>
      </w:r>
    </w:p>
    <w:p w:rsidR="00353F6B" w:rsidRPr="005B0FB1" w:rsidRDefault="00353F6B" w:rsidP="00353F6B">
      <w:pPr>
        <w:rPr>
          <w:rFonts w:ascii="Arial" w:hAnsi="Arial" w:cs="Arial"/>
          <w:sz w:val="20"/>
          <w:szCs w:val="20"/>
        </w:rPr>
      </w:pPr>
      <w:r w:rsidRPr="005B0FB1">
        <w:rPr>
          <w:rFonts w:ascii="Arial" w:hAnsi="Arial" w:cs="Arial"/>
          <w:b/>
          <w:i/>
          <w:sz w:val="20"/>
          <w:szCs w:val="20"/>
        </w:rPr>
        <w:t>Примечание 1:</w:t>
      </w:r>
      <w:r w:rsidRPr="005B0FB1">
        <w:rPr>
          <w:rFonts w:ascii="Arial" w:hAnsi="Arial" w:cs="Arial"/>
          <w:i/>
          <w:sz w:val="20"/>
          <w:szCs w:val="20"/>
        </w:rPr>
        <w:t xml:space="preserve"> Необходимо сделать перевод приведенного ниже фрагмента текста</w:t>
      </w:r>
    </w:p>
    <w:p w:rsidR="00353F6B" w:rsidRPr="00621327" w:rsidRDefault="00353F6B" w:rsidP="00353F6B">
      <w:pPr>
        <w:rPr>
          <w:rFonts w:ascii="Arial" w:hAnsi="Arial" w:cs="Arial"/>
          <w:snapToGrid w:val="0"/>
          <w:sz w:val="20"/>
          <w:szCs w:val="20"/>
        </w:rPr>
      </w:pPr>
      <w:r w:rsidRPr="005B0FB1">
        <w:rPr>
          <w:rFonts w:ascii="Arial" w:hAnsi="Arial" w:cs="Arial"/>
          <w:b/>
          <w:i/>
          <w:sz w:val="20"/>
          <w:szCs w:val="20"/>
        </w:rPr>
        <w:t>Примечание 2:</w:t>
      </w:r>
      <w:r w:rsidRPr="005B0FB1">
        <w:rPr>
          <w:rFonts w:ascii="Arial" w:hAnsi="Arial" w:cs="Arial"/>
          <w:i/>
          <w:sz w:val="20"/>
          <w:szCs w:val="20"/>
        </w:rPr>
        <w:t xml:space="preserve"> Перевод </w:t>
      </w:r>
      <w:r w:rsidR="00621327">
        <w:rPr>
          <w:rFonts w:ascii="Arial" w:hAnsi="Arial" w:cs="Arial"/>
          <w:i/>
          <w:sz w:val="20"/>
          <w:szCs w:val="20"/>
        </w:rPr>
        <w:t xml:space="preserve">(или постредактирование) </w:t>
      </w:r>
      <w:r w:rsidRPr="005B0FB1">
        <w:rPr>
          <w:rFonts w:ascii="Arial" w:hAnsi="Arial" w:cs="Arial"/>
          <w:i/>
          <w:sz w:val="20"/>
          <w:szCs w:val="20"/>
        </w:rPr>
        <w:t xml:space="preserve">текста размещается </w:t>
      </w:r>
      <w:r w:rsidRPr="005B0FB1">
        <w:rPr>
          <w:rFonts w:ascii="Arial" w:hAnsi="Arial" w:cs="Arial"/>
          <w:i/>
          <w:snapToGrid w:val="0"/>
          <w:sz w:val="20"/>
          <w:szCs w:val="20"/>
        </w:rPr>
        <w:t>в соответствующий столбец</w:t>
      </w:r>
      <w:r w:rsidRPr="005B0FB1">
        <w:rPr>
          <w:rFonts w:ascii="Arial" w:hAnsi="Arial" w:cs="Arial"/>
          <w:snapToGrid w:val="0"/>
          <w:sz w:val="20"/>
          <w:szCs w:val="20"/>
        </w:rPr>
        <w:t>.</w:t>
      </w:r>
    </w:p>
    <w:p w:rsidR="00353F6B" w:rsidRDefault="00353F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80EEC" w:rsidTr="000D0632">
        <w:tc>
          <w:tcPr>
            <w:tcW w:w="4503" w:type="dxa"/>
          </w:tcPr>
          <w:p w:rsidR="00A80EEC" w:rsidRPr="00A80EEC" w:rsidRDefault="000D0632" w:rsidP="004D596C">
            <w:pPr>
              <w:jc w:val="both"/>
              <w:rPr>
                <w:b/>
                <w:lang w:val="en-US"/>
              </w:rPr>
            </w:pPr>
            <w:r w:rsidRPr="00A80EEC">
              <w:rPr>
                <w:b/>
                <w:lang w:val="en-US"/>
              </w:rPr>
              <w:t>EN</w:t>
            </w:r>
            <w:r w:rsidR="004D596C">
              <w:t xml:space="preserve"> </w:t>
            </w:r>
            <w:r w:rsidR="004D596C">
              <w:rPr>
                <w:b/>
                <w:lang w:val="en-US"/>
              </w:rPr>
              <w:t>Source</w:t>
            </w:r>
          </w:p>
        </w:tc>
        <w:tc>
          <w:tcPr>
            <w:tcW w:w="5068" w:type="dxa"/>
          </w:tcPr>
          <w:p w:rsidR="00A80EEC" w:rsidRPr="00A80EEC" w:rsidRDefault="000D0632">
            <w:pPr>
              <w:rPr>
                <w:b/>
                <w:lang w:val="en-US"/>
              </w:rPr>
            </w:pPr>
            <w:r w:rsidRPr="00A80EEC">
              <w:rPr>
                <w:b/>
                <w:lang w:val="en-US"/>
              </w:rPr>
              <w:t>RU</w:t>
            </w:r>
            <w:r w:rsidR="004D596C">
              <w:t xml:space="preserve"> </w:t>
            </w:r>
            <w:r w:rsidR="004D596C" w:rsidRPr="004D596C">
              <w:rPr>
                <w:b/>
                <w:lang w:val="en-US"/>
              </w:rPr>
              <w:t>Translation</w:t>
            </w:r>
          </w:p>
        </w:tc>
      </w:tr>
      <w:tr w:rsidR="00A80EEC" w:rsidRPr="00105F8A" w:rsidTr="000D0632">
        <w:tc>
          <w:tcPr>
            <w:tcW w:w="4503" w:type="dxa"/>
          </w:tcPr>
          <w:p w:rsidR="00A80EEC" w:rsidRPr="009245A1" w:rsidRDefault="004D596C" w:rsidP="004D59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596C">
              <w:rPr>
                <w:lang w:val="en-US"/>
              </w:rPr>
              <w:t>When categorizing RICEFWs, consider the new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technological options in the following table and leverage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these for either new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developments or the ones that require considerable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rework.</w:t>
            </w:r>
          </w:p>
        </w:tc>
        <w:tc>
          <w:tcPr>
            <w:tcW w:w="5068" w:type="dxa"/>
          </w:tcPr>
          <w:p w:rsidR="00A80EEC" w:rsidRPr="00353F6B" w:rsidRDefault="00A80EEC">
            <w:pPr>
              <w:rPr>
                <w:lang w:val="en-US"/>
              </w:rPr>
            </w:pPr>
          </w:p>
        </w:tc>
      </w:tr>
      <w:tr w:rsidR="00A80EEC" w:rsidRPr="00105F8A" w:rsidTr="000D0632">
        <w:tc>
          <w:tcPr>
            <w:tcW w:w="4503" w:type="dxa"/>
          </w:tcPr>
          <w:p w:rsidR="00A80EEC" w:rsidRPr="004D596C" w:rsidRDefault="004D596C" w:rsidP="004D59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596C">
              <w:rPr>
                <w:lang w:val="en-US"/>
              </w:rPr>
              <w:t>Archive unnecessary master data records, such as those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pertaining to inactive customers and vendors</w:t>
            </w:r>
          </w:p>
        </w:tc>
        <w:tc>
          <w:tcPr>
            <w:tcW w:w="5068" w:type="dxa"/>
          </w:tcPr>
          <w:p w:rsidR="00A80EEC" w:rsidRPr="00353F6B" w:rsidRDefault="00A80EEC">
            <w:pPr>
              <w:rPr>
                <w:lang w:val="en-US"/>
              </w:rPr>
            </w:pPr>
          </w:p>
        </w:tc>
      </w:tr>
      <w:tr w:rsidR="00966D88" w:rsidRPr="00105F8A" w:rsidTr="000D0632">
        <w:tc>
          <w:tcPr>
            <w:tcW w:w="4503" w:type="dxa"/>
          </w:tcPr>
          <w:p w:rsidR="00966D88" w:rsidRPr="00353F6B" w:rsidRDefault="00621327" w:rsidP="004D596C">
            <w:pPr>
              <w:jc w:val="both"/>
              <w:rPr>
                <w:lang w:val="en-US"/>
              </w:rPr>
            </w:pPr>
            <w:r w:rsidRPr="004D596C">
              <w:rPr>
                <w:lang w:val="en-US"/>
              </w:rPr>
              <w:t>Also allows for additional cost terms, but some of the terms may not be visible to the supplier and typically have different values for each supplier</w:t>
            </w:r>
          </w:p>
        </w:tc>
        <w:tc>
          <w:tcPr>
            <w:tcW w:w="5068" w:type="dxa"/>
          </w:tcPr>
          <w:p w:rsidR="00966D88" w:rsidRPr="00353F6B" w:rsidRDefault="00966D88">
            <w:pPr>
              <w:rPr>
                <w:lang w:val="en-US"/>
              </w:rPr>
            </w:pPr>
          </w:p>
        </w:tc>
      </w:tr>
      <w:tr w:rsidR="00966D88" w:rsidRPr="00105F8A" w:rsidTr="000D0632">
        <w:tc>
          <w:tcPr>
            <w:tcW w:w="4503" w:type="dxa"/>
          </w:tcPr>
          <w:p w:rsidR="00966D88" w:rsidRPr="00353F6B" w:rsidRDefault="00602558" w:rsidP="006025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02558">
              <w:rPr>
                <w:lang w:val="en-US"/>
              </w:rPr>
              <w:t xml:space="preserve">Regardless of the deployment option, perform a singleexecution performance test for most business-critical transactions and activated </w:t>
            </w:r>
            <w:r>
              <w:rPr>
                <w:lang w:val="en-US"/>
              </w:rPr>
              <w:t>XXX</w:t>
            </w:r>
            <w:r w:rsidRPr="00602558">
              <w:rPr>
                <w:lang w:val="en-US"/>
              </w:rPr>
              <w:t xml:space="preserve"> apps.</w:t>
            </w:r>
          </w:p>
        </w:tc>
        <w:tc>
          <w:tcPr>
            <w:tcW w:w="5068" w:type="dxa"/>
          </w:tcPr>
          <w:p w:rsidR="00966D88" w:rsidRPr="00353F6B" w:rsidRDefault="00966D88">
            <w:pPr>
              <w:rPr>
                <w:lang w:val="en-US"/>
              </w:rPr>
            </w:pPr>
          </w:p>
        </w:tc>
      </w:tr>
      <w:tr w:rsidR="00966D88" w:rsidRPr="00105F8A" w:rsidTr="000D0632">
        <w:tc>
          <w:tcPr>
            <w:tcW w:w="4503" w:type="dxa"/>
          </w:tcPr>
          <w:p w:rsidR="00966D88" w:rsidRPr="00353F6B" w:rsidRDefault="00506B95" w:rsidP="00506B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6B95">
              <w:rPr>
                <w:lang w:val="en-US"/>
              </w:rPr>
              <w:t>Extension of standard OData services or creation of new ones based on custom core data services (CDS) views with ХХХ in-app extensibility</w:t>
            </w:r>
          </w:p>
        </w:tc>
        <w:tc>
          <w:tcPr>
            <w:tcW w:w="5068" w:type="dxa"/>
          </w:tcPr>
          <w:p w:rsidR="00966D88" w:rsidRPr="00353F6B" w:rsidRDefault="00966D88">
            <w:pPr>
              <w:rPr>
                <w:lang w:val="en-US"/>
              </w:rPr>
            </w:pPr>
          </w:p>
        </w:tc>
      </w:tr>
      <w:tr w:rsidR="00966D88" w:rsidRPr="00105F8A" w:rsidTr="000D0632">
        <w:tc>
          <w:tcPr>
            <w:tcW w:w="4503" w:type="dxa"/>
          </w:tcPr>
          <w:p w:rsidR="00966D88" w:rsidRPr="00353F6B" w:rsidRDefault="00506B95" w:rsidP="006213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6B95">
              <w:rPr>
                <w:lang w:val="en-US"/>
              </w:rPr>
              <w:t xml:space="preserve">In-app extensibility in </w:t>
            </w:r>
            <w:r w:rsidR="00621327">
              <w:rPr>
                <w:lang w:val="en-US"/>
              </w:rPr>
              <w:t>XXX</w:t>
            </w:r>
            <w:r w:rsidRPr="00506B95">
              <w:rPr>
                <w:lang w:val="en-US"/>
              </w:rPr>
              <w:t xml:space="preserve"> covers a wide</w:t>
            </w:r>
            <w:r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range of business requirements for UI adaptation and</w:t>
            </w:r>
            <w:r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business logic.</w:t>
            </w:r>
          </w:p>
        </w:tc>
        <w:tc>
          <w:tcPr>
            <w:tcW w:w="5068" w:type="dxa"/>
          </w:tcPr>
          <w:p w:rsidR="00966D88" w:rsidRPr="00353F6B" w:rsidRDefault="00966D88">
            <w:pPr>
              <w:rPr>
                <w:lang w:val="en-US"/>
              </w:rPr>
            </w:pPr>
          </w:p>
        </w:tc>
      </w:tr>
      <w:tr w:rsidR="00966D88" w:rsidRPr="00105F8A" w:rsidTr="000D0632">
        <w:tc>
          <w:tcPr>
            <w:tcW w:w="4503" w:type="dxa"/>
          </w:tcPr>
          <w:p w:rsidR="00966D88" w:rsidRPr="00353F6B" w:rsidRDefault="00506B95" w:rsidP="006213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6B95">
              <w:rPr>
                <w:lang w:val="en-US"/>
              </w:rPr>
              <w:t>With more than 1 billion financial line items in the BSEG</w:t>
            </w:r>
            <w:r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table (which st</w:t>
            </w:r>
            <w:r w:rsidR="00621327">
              <w:rPr>
                <w:lang w:val="en-US"/>
              </w:rPr>
              <w:t>ores accounting document infor</w:t>
            </w:r>
            <w:r w:rsidRPr="00506B95">
              <w:rPr>
                <w:lang w:val="en-US"/>
              </w:rPr>
              <w:t>mation</w:t>
            </w:r>
            <w:r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 xml:space="preserve">in </w:t>
            </w:r>
            <w:r>
              <w:rPr>
                <w:lang w:val="en-US"/>
              </w:rPr>
              <w:t>XXX</w:t>
            </w:r>
            <w:r w:rsidRPr="00506B95">
              <w:rPr>
                <w:lang w:val="en-US"/>
              </w:rPr>
              <w:t xml:space="preserve"> ERP),</w:t>
            </w:r>
            <w:r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the project needs to employ either the downtimeoptimized</w:t>
            </w:r>
            <w:r w:rsidR="00621327"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conversion option or the minimized downtime</w:t>
            </w:r>
            <w:r w:rsidR="00621327"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 xml:space="preserve">service from </w:t>
            </w:r>
            <w:r w:rsidR="00621327">
              <w:rPr>
                <w:lang w:val="en-US"/>
              </w:rPr>
              <w:t>XXX</w:t>
            </w:r>
            <w:r w:rsidRPr="00506B95">
              <w:rPr>
                <w:lang w:val="en-US"/>
              </w:rPr>
              <w:t xml:space="preserve"> Digital</w:t>
            </w:r>
            <w:r w:rsidR="00621327"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Business Services to complete the conversion within an</w:t>
            </w:r>
            <w:r w:rsidR="00621327">
              <w:rPr>
                <w:lang w:val="en-US"/>
              </w:rPr>
              <w:t xml:space="preserve"> </w:t>
            </w:r>
            <w:r w:rsidRPr="00506B95">
              <w:rPr>
                <w:lang w:val="en-US"/>
              </w:rPr>
              <w:t>acceptable system outage window.</w:t>
            </w:r>
          </w:p>
        </w:tc>
        <w:tc>
          <w:tcPr>
            <w:tcW w:w="5068" w:type="dxa"/>
          </w:tcPr>
          <w:p w:rsidR="00966D88" w:rsidRPr="00353F6B" w:rsidRDefault="00966D88">
            <w:pPr>
              <w:rPr>
                <w:lang w:val="en-US"/>
              </w:rPr>
            </w:pPr>
          </w:p>
        </w:tc>
      </w:tr>
      <w:tr w:rsidR="00966D88" w:rsidRPr="00105F8A" w:rsidTr="000D0632">
        <w:tc>
          <w:tcPr>
            <w:tcW w:w="4503" w:type="dxa"/>
          </w:tcPr>
          <w:p w:rsidR="00966D88" w:rsidRPr="00621327" w:rsidRDefault="00621327" w:rsidP="006213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1327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>XXX</w:t>
            </w:r>
            <w:r w:rsidRPr="00621327">
              <w:rPr>
                <w:lang w:val="en-US"/>
              </w:rPr>
              <w:t xml:space="preserve"> Cloud Appliance Library, you can deploy </w:t>
            </w:r>
            <w:r>
              <w:rPr>
                <w:lang w:val="en-US"/>
              </w:rPr>
              <w:t>XXX</w:t>
            </w:r>
            <w:r w:rsidRPr="00621327">
              <w:rPr>
                <w:lang w:val="en-US"/>
              </w:rPr>
              <w:t xml:space="preserve"> Model Company within hours to your account at</w:t>
            </w:r>
            <w:r>
              <w:rPr>
                <w:lang w:val="en-US"/>
              </w:rPr>
              <w:t xml:space="preserve"> </w:t>
            </w:r>
            <w:r w:rsidRPr="00621327">
              <w:rPr>
                <w:lang w:val="en-US"/>
              </w:rPr>
              <w:t>third-party IaaS providers</w:t>
            </w:r>
            <w:r>
              <w:rPr>
                <w:lang w:val="en-US"/>
              </w:rPr>
              <w:t xml:space="preserve"> </w:t>
            </w:r>
            <w:r w:rsidRPr="00621327">
              <w:rPr>
                <w:lang w:val="en-US"/>
              </w:rPr>
              <w:t>(for example, Amazon Web Services, Microsoft Azure,</w:t>
            </w:r>
            <w:r>
              <w:rPr>
                <w:lang w:val="en-US"/>
              </w:rPr>
              <w:t xml:space="preserve"> </w:t>
            </w:r>
            <w:r w:rsidRPr="00621327">
              <w:rPr>
                <w:lang w:val="en-US"/>
              </w:rPr>
              <w:t>or Google Cloud).</w:t>
            </w:r>
          </w:p>
        </w:tc>
        <w:tc>
          <w:tcPr>
            <w:tcW w:w="5068" w:type="dxa"/>
          </w:tcPr>
          <w:p w:rsidR="00966D88" w:rsidRPr="00621327" w:rsidRDefault="00966D88" w:rsidP="0062132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14097" w:rsidRPr="004D596C" w:rsidRDefault="00B1409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632" w:rsidRPr="000D0632" w:rsidTr="000D0632">
        <w:tc>
          <w:tcPr>
            <w:tcW w:w="3190" w:type="dxa"/>
          </w:tcPr>
          <w:p w:rsidR="000D0632" w:rsidRPr="004D596C" w:rsidRDefault="000D0632" w:rsidP="004D596C">
            <w:pPr>
              <w:rPr>
                <w:b/>
                <w:lang w:val="en-US"/>
              </w:rPr>
            </w:pPr>
            <w:r w:rsidRPr="000D0632">
              <w:rPr>
                <w:b/>
              </w:rPr>
              <w:t>EN</w:t>
            </w:r>
            <w:r w:rsidR="004D596C">
              <w:rPr>
                <w:b/>
                <w:lang w:val="en-US"/>
              </w:rPr>
              <w:t xml:space="preserve"> Source</w:t>
            </w:r>
          </w:p>
        </w:tc>
        <w:tc>
          <w:tcPr>
            <w:tcW w:w="3190" w:type="dxa"/>
          </w:tcPr>
          <w:p w:rsidR="000D0632" w:rsidRPr="000D0632" w:rsidRDefault="000D0632">
            <w:pPr>
              <w:rPr>
                <w:b/>
                <w:lang w:val="en-US"/>
              </w:rPr>
            </w:pPr>
            <w:r w:rsidRPr="000D0632">
              <w:rPr>
                <w:b/>
                <w:lang w:val="en-US"/>
              </w:rPr>
              <w:t>RU Machine Translation</w:t>
            </w:r>
          </w:p>
        </w:tc>
        <w:tc>
          <w:tcPr>
            <w:tcW w:w="3191" w:type="dxa"/>
          </w:tcPr>
          <w:p w:rsidR="000D0632" w:rsidRPr="000D0632" w:rsidRDefault="000D0632">
            <w:pPr>
              <w:rPr>
                <w:b/>
                <w:lang w:val="en-US"/>
              </w:rPr>
            </w:pPr>
            <w:r w:rsidRPr="000D0632">
              <w:rPr>
                <w:b/>
                <w:lang w:val="en-US"/>
              </w:rPr>
              <w:t>RU MT Postediting</w:t>
            </w:r>
          </w:p>
        </w:tc>
      </w:tr>
      <w:tr w:rsidR="000D0632" w:rsidRPr="004D596C" w:rsidTr="000D0632">
        <w:tc>
          <w:tcPr>
            <w:tcW w:w="3190" w:type="dxa"/>
          </w:tcPr>
          <w:p w:rsidR="000D0632" w:rsidRPr="004D596C" w:rsidRDefault="004D596C" w:rsidP="004D59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596C">
              <w:rPr>
                <w:lang w:val="en-US"/>
              </w:rPr>
              <w:t xml:space="preserve">Real-time analytics and KPI tiles with </w:t>
            </w:r>
            <w:r>
              <w:rPr>
                <w:lang w:val="en-US"/>
              </w:rPr>
              <w:t>XXX</w:t>
            </w:r>
            <w:r w:rsidRPr="004D596C">
              <w:rPr>
                <w:lang w:val="en-US"/>
              </w:rPr>
              <w:t xml:space="preserve"> Smart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 xml:space="preserve">Business cockpits, and drill-down analysis </w:t>
            </w:r>
            <w:r w:rsidRPr="004D596C">
              <w:rPr>
                <w:lang w:val="en-US"/>
              </w:rPr>
              <w:lastRenderedPageBreak/>
              <w:t>with the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Analysis Path Framework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 xml:space="preserve">service in </w:t>
            </w:r>
            <w:r>
              <w:rPr>
                <w:lang w:val="en-US"/>
              </w:rPr>
              <w:t>XXX</w:t>
            </w:r>
            <w:r w:rsidRPr="004D596C">
              <w:rPr>
                <w:lang w:val="en-US"/>
              </w:rPr>
              <w:t xml:space="preserve"> embedded analytics</w:t>
            </w:r>
          </w:p>
        </w:tc>
        <w:tc>
          <w:tcPr>
            <w:tcW w:w="3190" w:type="dxa"/>
          </w:tcPr>
          <w:p w:rsidR="000D0632" w:rsidRPr="00105F8A" w:rsidRDefault="00105F8A">
            <w:r w:rsidRPr="00105F8A">
              <w:lastRenderedPageBreak/>
              <w:t xml:space="preserve">Аналитика в реальном времени и плитки </w:t>
            </w:r>
            <w:r w:rsidRPr="00105F8A">
              <w:rPr>
                <w:lang w:val="en-US"/>
              </w:rPr>
              <w:t>KPI</w:t>
            </w:r>
            <w:r w:rsidRPr="00105F8A">
              <w:t xml:space="preserve"> с кабинами </w:t>
            </w:r>
            <w:r w:rsidRPr="00105F8A">
              <w:rPr>
                <w:lang w:val="en-US"/>
              </w:rPr>
              <w:t>XXX</w:t>
            </w:r>
            <w:r w:rsidRPr="00105F8A">
              <w:t xml:space="preserve"> </w:t>
            </w:r>
            <w:r w:rsidRPr="00105F8A">
              <w:rPr>
                <w:lang w:val="en-US"/>
              </w:rPr>
              <w:t>Smart</w:t>
            </w:r>
            <w:r w:rsidRPr="00105F8A">
              <w:t xml:space="preserve"> </w:t>
            </w:r>
            <w:r w:rsidRPr="00105F8A">
              <w:rPr>
                <w:lang w:val="en-US"/>
              </w:rPr>
              <w:t>Business</w:t>
            </w:r>
            <w:r w:rsidRPr="00105F8A">
              <w:t xml:space="preserve">, а </w:t>
            </w:r>
            <w:r w:rsidRPr="00105F8A">
              <w:lastRenderedPageBreak/>
              <w:t xml:space="preserve">также анализ детализации с помощью службы </w:t>
            </w:r>
            <w:r w:rsidRPr="00105F8A">
              <w:rPr>
                <w:lang w:val="en-US"/>
              </w:rPr>
              <w:t>Analysis</w:t>
            </w:r>
            <w:r w:rsidRPr="00105F8A">
              <w:t xml:space="preserve"> </w:t>
            </w:r>
            <w:r w:rsidRPr="00105F8A">
              <w:rPr>
                <w:lang w:val="en-US"/>
              </w:rPr>
              <w:t>Path</w:t>
            </w:r>
            <w:r w:rsidRPr="00105F8A">
              <w:t xml:space="preserve"> </w:t>
            </w:r>
            <w:r w:rsidRPr="00105F8A">
              <w:rPr>
                <w:lang w:val="en-US"/>
              </w:rPr>
              <w:t>Framework</w:t>
            </w:r>
            <w:r w:rsidRPr="00105F8A">
              <w:t xml:space="preserve"> во встроенной аналитике </w:t>
            </w:r>
            <w:r w:rsidRPr="00105F8A">
              <w:rPr>
                <w:lang w:val="en-US"/>
              </w:rPr>
              <w:t>XXX</w:t>
            </w:r>
          </w:p>
        </w:tc>
        <w:tc>
          <w:tcPr>
            <w:tcW w:w="3191" w:type="dxa"/>
          </w:tcPr>
          <w:p w:rsidR="000D0632" w:rsidRPr="00105F8A" w:rsidRDefault="000D0632"/>
        </w:tc>
      </w:tr>
      <w:tr w:rsidR="000D0632" w:rsidRPr="00105F8A" w:rsidTr="000D0632">
        <w:tc>
          <w:tcPr>
            <w:tcW w:w="3190" w:type="dxa"/>
          </w:tcPr>
          <w:p w:rsidR="000D0632" w:rsidRPr="004D596C" w:rsidRDefault="004D596C" w:rsidP="004D596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596C">
              <w:rPr>
                <w:lang w:val="en-US"/>
              </w:rPr>
              <w:lastRenderedPageBreak/>
              <w:t>Use the current system statistics to estimate the regular</w:t>
            </w:r>
            <w:r>
              <w:rPr>
                <w:lang w:val="en-US"/>
              </w:rPr>
              <w:t xml:space="preserve"> </w:t>
            </w:r>
            <w:r w:rsidRPr="004D596C">
              <w:rPr>
                <w:lang w:val="en-US"/>
              </w:rPr>
              <w:t>annual data- volume growth.</w:t>
            </w:r>
          </w:p>
        </w:tc>
        <w:tc>
          <w:tcPr>
            <w:tcW w:w="3190" w:type="dxa"/>
          </w:tcPr>
          <w:p w:rsidR="000D0632" w:rsidRPr="00105F8A" w:rsidRDefault="00105F8A">
            <w:r w:rsidRPr="00105F8A">
              <w:t>Используйте текущую системную статистику для оценки регулярного ежегодного роста объема данных.</w:t>
            </w:r>
          </w:p>
        </w:tc>
        <w:tc>
          <w:tcPr>
            <w:tcW w:w="3191" w:type="dxa"/>
          </w:tcPr>
          <w:p w:rsidR="000D0632" w:rsidRPr="00105F8A" w:rsidRDefault="000D0632"/>
        </w:tc>
      </w:tr>
      <w:tr w:rsidR="000D0632" w:rsidRPr="00105F8A" w:rsidTr="000D0632">
        <w:tc>
          <w:tcPr>
            <w:tcW w:w="3190" w:type="dxa"/>
          </w:tcPr>
          <w:p w:rsidR="000D0632" w:rsidRPr="004D596C" w:rsidRDefault="00621327" w:rsidP="004D596C">
            <w:pPr>
              <w:rPr>
                <w:lang w:val="en-US"/>
              </w:rPr>
            </w:pPr>
            <w:r w:rsidRPr="004D596C">
              <w:rPr>
                <w:lang w:val="en-US"/>
              </w:rPr>
              <w:t>These costs can vary between different suppliers, especially if suppliers are in different regions. Quantify the additional transportation costs and add those costs to a supplier’s bid in the auction. This can include duties and customs charges if dealing with international suppliers.</w:t>
            </w:r>
          </w:p>
        </w:tc>
        <w:tc>
          <w:tcPr>
            <w:tcW w:w="3190" w:type="dxa"/>
          </w:tcPr>
          <w:p w:rsidR="000D0632" w:rsidRPr="00105F8A" w:rsidRDefault="00105F8A">
            <w:r w:rsidRPr="00105F8A">
              <w:t>Эти затраты могут различаться у разных поставщиков, особенно если поставщики находятся в разных регионах.</w:t>
            </w:r>
            <w:r>
              <w:t xml:space="preserve"> </w:t>
            </w:r>
            <w:r w:rsidRPr="00105F8A">
              <w:t>Определите дополнительные транспортные расходы и добавьте эти затраты к предложению поставщика на аукционе.</w:t>
            </w:r>
            <w:r>
              <w:t xml:space="preserve"> </w:t>
            </w:r>
            <w:r w:rsidRPr="00105F8A">
              <w:t>Это может включать пошлины и таможенные сборы при работе с международными поставщиками.</w:t>
            </w:r>
          </w:p>
        </w:tc>
        <w:tc>
          <w:tcPr>
            <w:tcW w:w="3191" w:type="dxa"/>
          </w:tcPr>
          <w:p w:rsidR="000D0632" w:rsidRPr="00105F8A" w:rsidRDefault="000D0632"/>
        </w:tc>
      </w:tr>
      <w:tr w:rsidR="000D0632" w:rsidRPr="00105F8A" w:rsidTr="000D0632">
        <w:tc>
          <w:tcPr>
            <w:tcW w:w="3190" w:type="dxa"/>
          </w:tcPr>
          <w:p w:rsidR="000D0632" w:rsidRPr="00602558" w:rsidRDefault="00602558" w:rsidP="006025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02558">
              <w:rPr>
                <w:lang w:val="en-US"/>
              </w:rPr>
              <w:t>Review other projects in your portfolio that plan to introduce a new functionality and estimate the associated system workload and data footprint.</w:t>
            </w:r>
          </w:p>
        </w:tc>
        <w:tc>
          <w:tcPr>
            <w:tcW w:w="3190" w:type="dxa"/>
          </w:tcPr>
          <w:p w:rsidR="000D0632" w:rsidRPr="00105F8A" w:rsidRDefault="00105F8A">
            <w:r w:rsidRPr="00105F8A">
              <w:t>Просмотрите другие проекты в вашем портфеле, которые планируют внедрить новую функциональность, и оцените соответствующую нагрузку системы и объем данных.</w:t>
            </w:r>
          </w:p>
        </w:tc>
        <w:tc>
          <w:tcPr>
            <w:tcW w:w="3191" w:type="dxa"/>
          </w:tcPr>
          <w:p w:rsidR="000D0632" w:rsidRPr="00105F8A" w:rsidRDefault="000D0632"/>
        </w:tc>
      </w:tr>
      <w:tr w:rsidR="00602558" w:rsidRPr="00105F8A" w:rsidTr="000D0632">
        <w:tc>
          <w:tcPr>
            <w:tcW w:w="3190" w:type="dxa"/>
          </w:tcPr>
          <w:p w:rsidR="00602558" w:rsidRPr="00602558" w:rsidRDefault="00602558" w:rsidP="006025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02558">
              <w:rPr>
                <w:lang w:val="en-US"/>
              </w:rPr>
              <w:t>A frequent example is missing open items for an openitem managed account.</w:t>
            </w:r>
          </w:p>
        </w:tc>
        <w:tc>
          <w:tcPr>
            <w:tcW w:w="3190" w:type="dxa"/>
          </w:tcPr>
          <w:p w:rsidR="00602558" w:rsidRPr="00105F8A" w:rsidRDefault="00105F8A">
            <w:r w:rsidRPr="00105F8A">
              <w:t xml:space="preserve">Частым примером является отсутствие открытых позиций для управляемой учетной записи </w:t>
            </w:r>
            <w:r w:rsidRPr="00105F8A">
              <w:rPr>
                <w:lang w:val="en-US"/>
              </w:rPr>
              <w:t>openitem</w:t>
            </w:r>
            <w:r w:rsidRPr="00105F8A">
              <w:t>.</w:t>
            </w:r>
          </w:p>
        </w:tc>
        <w:tc>
          <w:tcPr>
            <w:tcW w:w="3191" w:type="dxa"/>
          </w:tcPr>
          <w:p w:rsidR="00602558" w:rsidRPr="00105F8A" w:rsidRDefault="00602558"/>
        </w:tc>
      </w:tr>
      <w:tr w:rsidR="00506B95" w:rsidRPr="00105F8A" w:rsidTr="000D0632">
        <w:tc>
          <w:tcPr>
            <w:tcW w:w="3190" w:type="dxa"/>
          </w:tcPr>
          <w:p w:rsidR="00506B95" w:rsidRPr="00506B95" w:rsidRDefault="00506B95" w:rsidP="006025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06B95">
              <w:rPr>
                <w:lang w:val="en-US"/>
              </w:rPr>
              <w:t>Make it clear how the auction will be awarded - is it winner take all? Will you award any business to the 2nd or even 3rd  ranked suppliers?</w:t>
            </w:r>
          </w:p>
        </w:tc>
        <w:tc>
          <w:tcPr>
            <w:tcW w:w="3190" w:type="dxa"/>
          </w:tcPr>
          <w:p w:rsidR="00506B95" w:rsidRPr="00105F8A" w:rsidRDefault="00105F8A">
            <w:r w:rsidRPr="00105F8A">
              <w:t>Уточните, как будет награжден аукцион - победит ли он все?</w:t>
            </w:r>
            <w:r>
              <w:t xml:space="preserve"> </w:t>
            </w:r>
            <w:r w:rsidRPr="00105F8A">
              <w:t>Вы дадите какой-нибудь бизнес поставщикам, занявшим второе или третье место?</w:t>
            </w:r>
          </w:p>
        </w:tc>
        <w:tc>
          <w:tcPr>
            <w:tcW w:w="3191" w:type="dxa"/>
          </w:tcPr>
          <w:p w:rsidR="00506B95" w:rsidRPr="00105F8A" w:rsidRDefault="00506B95"/>
        </w:tc>
      </w:tr>
      <w:tr w:rsidR="00506B95" w:rsidRPr="00105F8A" w:rsidTr="000D0632">
        <w:tc>
          <w:tcPr>
            <w:tcW w:w="3190" w:type="dxa"/>
          </w:tcPr>
          <w:p w:rsidR="00506B95" w:rsidRPr="00506B95" w:rsidRDefault="00506B95" w:rsidP="00506B9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Replace SELECT from table BSEG by API Call</w:t>
            </w:r>
          </w:p>
        </w:tc>
        <w:tc>
          <w:tcPr>
            <w:tcW w:w="3190" w:type="dxa"/>
          </w:tcPr>
          <w:p w:rsidR="00506B95" w:rsidRPr="00105F8A" w:rsidRDefault="00105F8A">
            <w:r w:rsidRPr="00105F8A">
              <w:t xml:space="preserve">Заменить </w:t>
            </w:r>
            <w:r w:rsidRPr="00105F8A">
              <w:rPr>
                <w:lang w:val="en-US"/>
              </w:rPr>
              <w:t>SELECT</w:t>
            </w:r>
            <w:r w:rsidRPr="00105F8A">
              <w:t xml:space="preserve"> из таблицы </w:t>
            </w:r>
            <w:r w:rsidRPr="00105F8A">
              <w:rPr>
                <w:lang w:val="en-US"/>
              </w:rPr>
              <w:t>BSEG</w:t>
            </w:r>
            <w:r w:rsidRPr="00105F8A">
              <w:t xml:space="preserve"> на </w:t>
            </w:r>
            <w:r w:rsidRPr="00105F8A">
              <w:rPr>
                <w:lang w:val="en-US"/>
              </w:rPr>
              <w:t>API</w:t>
            </w:r>
            <w:r w:rsidRPr="00105F8A">
              <w:t xml:space="preserve"> </w:t>
            </w:r>
            <w:r w:rsidRPr="00105F8A">
              <w:rPr>
                <w:lang w:val="en-US"/>
              </w:rPr>
              <w:t>Call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06B95" w:rsidRPr="00105F8A" w:rsidRDefault="00506B95"/>
        </w:tc>
      </w:tr>
    </w:tbl>
    <w:p w:rsidR="000D0632" w:rsidRPr="00105F8A" w:rsidRDefault="000D0632" w:rsidP="005B3F30"/>
    <w:sectPr w:rsidR="000D0632" w:rsidRPr="0010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B5"/>
    <w:multiLevelType w:val="hybridMultilevel"/>
    <w:tmpl w:val="22BCF800"/>
    <w:lvl w:ilvl="0" w:tplc="BD8AD90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8298E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C875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6E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DF6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414E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6D62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20E8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69D7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85ADE"/>
    <w:multiLevelType w:val="hybridMultilevel"/>
    <w:tmpl w:val="6F3229D8"/>
    <w:lvl w:ilvl="0" w:tplc="C4A0B4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F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2EB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A20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858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B4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E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41A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4DC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1C"/>
    <w:rsid w:val="000D0632"/>
    <w:rsid w:val="00105F8A"/>
    <w:rsid w:val="001347D7"/>
    <w:rsid w:val="0013728C"/>
    <w:rsid w:val="00166EB3"/>
    <w:rsid w:val="001D7F8D"/>
    <w:rsid w:val="00207394"/>
    <w:rsid w:val="0029192D"/>
    <w:rsid w:val="00353F6B"/>
    <w:rsid w:val="003E3FF9"/>
    <w:rsid w:val="003E6C07"/>
    <w:rsid w:val="004811EA"/>
    <w:rsid w:val="00482806"/>
    <w:rsid w:val="004B7659"/>
    <w:rsid w:val="004D596C"/>
    <w:rsid w:val="00506B95"/>
    <w:rsid w:val="005B3F30"/>
    <w:rsid w:val="00602558"/>
    <w:rsid w:val="00621327"/>
    <w:rsid w:val="00741A65"/>
    <w:rsid w:val="007A7B73"/>
    <w:rsid w:val="0088718F"/>
    <w:rsid w:val="008C0D92"/>
    <w:rsid w:val="009245A1"/>
    <w:rsid w:val="00966D88"/>
    <w:rsid w:val="00975DC2"/>
    <w:rsid w:val="00A16E4E"/>
    <w:rsid w:val="00A80EEC"/>
    <w:rsid w:val="00AE7765"/>
    <w:rsid w:val="00B14097"/>
    <w:rsid w:val="00B33B22"/>
    <w:rsid w:val="00C44AE6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353F6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353F6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354">
          <w:marLeft w:val="490"/>
          <w:marRight w:val="14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700">
          <w:marLeft w:val="259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Chernyuk Anton</dc:creator>
  <cp:lastModifiedBy>Larisa Turygina </cp:lastModifiedBy>
  <cp:revision>7</cp:revision>
  <dcterms:created xsi:type="dcterms:W3CDTF">2020-03-03T07:37:00Z</dcterms:created>
  <dcterms:modified xsi:type="dcterms:W3CDTF">2020-03-10T08:54:00Z</dcterms:modified>
</cp:coreProperties>
</file>