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A7E" w:rsidRDefault="00433A7E" w:rsidP="00433A7E">
      <w:r w:rsidRPr="00C60922">
        <w:rPr>
          <w:b/>
        </w:rPr>
        <w:t>ФИО кандидата</w:t>
      </w:r>
      <w:r>
        <w:t xml:space="preserve"> ____________________________</w:t>
      </w:r>
    </w:p>
    <w:p w:rsidR="00433A7E" w:rsidRDefault="00433A7E" w:rsidP="00433A7E">
      <w:pPr>
        <w:spacing w:after="0" w:line="240" w:lineRule="atLeast"/>
      </w:pPr>
      <w:r w:rsidRPr="00433A7E">
        <w:t>Задание:</w:t>
      </w:r>
      <w:r>
        <w:t xml:space="preserve"> Отредактируйте русский текст в столбце «Перевод». Исправляйте любые ошибки, какие сочтете нужным: смысловые, терминологические, стилистические, орфографические, пунктуационные. При необходимости оставляйте комментарии в соответствующем столбце. </w:t>
      </w:r>
    </w:p>
    <w:p w:rsidR="00433A7E" w:rsidRDefault="00433A7E" w:rsidP="00433A7E">
      <w:pPr>
        <w:spacing w:after="0" w:line="240" w:lineRule="atLeast"/>
        <w:rPr>
          <w:lang w:val="en-US"/>
        </w:rPr>
      </w:pPr>
    </w:p>
    <w:p w:rsidR="00433A7E" w:rsidRPr="00433A7E" w:rsidRDefault="00433A7E" w:rsidP="00433A7E">
      <w:pPr>
        <w:spacing w:after="0" w:line="240" w:lineRule="atLeast"/>
      </w:pPr>
      <w:r>
        <w:t>Перед началом работы включите режим записи исправлений (щелкнув команду «Исправления» на вкладке «Рецензирование» или индикатор «Исправления» внизу экрана). Чтобы исправления не загромождали экран, выберите на вкладке «Рецензирование» режим «Измененный документ» (см. скриншот ниже).</w:t>
      </w:r>
    </w:p>
    <w:p w:rsidR="00433A7E" w:rsidRPr="00433A7E" w:rsidRDefault="00433A7E" w:rsidP="00433A7E">
      <w:pPr>
        <w:rPr>
          <w:lang w:val="en-US"/>
        </w:rPr>
      </w:pPr>
      <w:r w:rsidRPr="001412A4">
        <w:rPr>
          <w:noProof/>
          <w:lang w:eastAsia="ru-RU"/>
        </w:rPr>
        <w:drawing>
          <wp:inline distT="0" distB="0" distL="0" distR="0" wp14:anchorId="5B88A742" wp14:editId="248577CE">
            <wp:extent cx="4528848" cy="1124252"/>
            <wp:effectExtent l="19050" t="0" r="5052"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528848" cy="1124252"/>
                    </a:xfrm>
                    <a:prstGeom prst="rect">
                      <a:avLst/>
                    </a:prstGeom>
                    <a:noFill/>
                    <a:ln w="9525">
                      <a:noFill/>
                      <a:miter lim="800000"/>
                      <a:headEnd/>
                      <a:tailEnd/>
                    </a:ln>
                  </pic:spPr>
                </pic:pic>
              </a:graphicData>
            </a:graphic>
          </wp:inline>
        </w:drawing>
      </w:r>
    </w:p>
    <w:p w:rsidR="00433A7E" w:rsidRPr="00C60922" w:rsidRDefault="00433A7E" w:rsidP="00433A7E">
      <w:pPr>
        <w:spacing w:after="0" w:line="240" w:lineRule="atLeast"/>
      </w:pPr>
      <w:r>
        <w:rPr>
          <w:b/>
        </w:rPr>
        <w:t>Комментарии:</w:t>
      </w:r>
    </w:p>
    <w:p w:rsidR="00433A7E" w:rsidRPr="00C60922" w:rsidRDefault="00433A7E" w:rsidP="00433A7E">
      <w:pPr>
        <w:spacing w:after="0" w:line="240" w:lineRule="atLeast"/>
      </w:pPr>
      <w:r w:rsidRPr="00C60922">
        <w:t>- не пытайтесь повторить структуру английского предложения;</w:t>
      </w:r>
    </w:p>
    <w:p w:rsidR="00433A7E" w:rsidRPr="00C60922" w:rsidRDefault="00433A7E" w:rsidP="00433A7E">
      <w:pPr>
        <w:spacing w:after="0" w:line="240" w:lineRule="atLeast"/>
      </w:pPr>
      <w:r w:rsidRPr="00C60922">
        <w:t>- не стремитесь перевести каждое слово исходного текста;</w:t>
      </w:r>
    </w:p>
    <w:p w:rsidR="00433A7E" w:rsidRPr="00C60922" w:rsidRDefault="00433A7E" w:rsidP="00433A7E">
      <w:pPr>
        <w:spacing w:after="0" w:line="240" w:lineRule="atLeast"/>
      </w:pPr>
      <w:r w:rsidRPr="00C60922">
        <w:t>- осмыслите текст и передайте его иде</w:t>
      </w:r>
      <w:bookmarkStart w:id="0" w:name="_GoBack"/>
      <w:bookmarkEnd w:id="0"/>
      <w:r w:rsidRPr="00C60922">
        <w:t>ю, но будьте внимательны к деталям;</w:t>
      </w:r>
      <w:r w:rsidRPr="00C60922">
        <w:br/>
        <w:t>- проверяйте пунктуацию, оформление (пробелы, теги);</w:t>
      </w:r>
    </w:p>
    <w:p w:rsidR="00433A7E" w:rsidRDefault="00433A7E" w:rsidP="00433A7E">
      <w:pPr>
        <w:spacing w:after="0" w:line="240" w:lineRule="atLeast"/>
        <w:rPr>
          <w:lang w:val="en-US"/>
        </w:rPr>
      </w:pPr>
      <w:r w:rsidRPr="00C60922">
        <w:t>- наличие орфографических ошибок в тесте не допускается.</w:t>
      </w:r>
    </w:p>
    <w:p w:rsidR="00433A7E" w:rsidRPr="00433A7E" w:rsidRDefault="00433A7E">
      <w:pPr>
        <w:rPr>
          <w:lang w:val="en-US"/>
        </w:rPr>
      </w:pPr>
    </w:p>
    <w:tbl>
      <w:tblPr>
        <w:tblStyle w:val="a3"/>
        <w:tblW w:w="9345" w:type="dxa"/>
        <w:tblLook w:val="04A0" w:firstRow="1" w:lastRow="0" w:firstColumn="1" w:lastColumn="0" w:noHBand="0" w:noVBand="1"/>
      </w:tblPr>
      <w:tblGrid>
        <w:gridCol w:w="3597"/>
        <w:gridCol w:w="3284"/>
        <w:gridCol w:w="2464"/>
      </w:tblGrid>
      <w:tr w:rsidR="00433A7E" w:rsidRPr="008C7C22" w:rsidTr="00CB2082">
        <w:tc>
          <w:tcPr>
            <w:tcW w:w="3597" w:type="dxa"/>
          </w:tcPr>
          <w:p w:rsidR="00433A7E" w:rsidRPr="00433A7E" w:rsidRDefault="00433A7E" w:rsidP="00A60DA3">
            <w:pPr>
              <w:rPr>
                <w:b/>
              </w:rPr>
            </w:pPr>
            <w:proofErr w:type="spellStart"/>
            <w:r w:rsidRPr="00433A7E">
              <w:rPr>
                <w:b/>
              </w:rPr>
              <w:t>Оригинал</w:t>
            </w:r>
            <w:proofErr w:type="spellEnd"/>
          </w:p>
        </w:tc>
        <w:tc>
          <w:tcPr>
            <w:tcW w:w="3284" w:type="dxa"/>
          </w:tcPr>
          <w:p w:rsidR="00433A7E" w:rsidRPr="00433A7E" w:rsidRDefault="00433A7E" w:rsidP="00670E45">
            <w:pPr>
              <w:rPr>
                <w:b/>
              </w:rPr>
            </w:pPr>
            <w:proofErr w:type="spellStart"/>
            <w:r w:rsidRPr="00433A7E">
              <w:rPr>
                <w:b/>
              </w:rPr>
              <w:t>Перевод</w:t>
            </w:r>
            <w:proofErr w:type="spellEnd"/>
          </w:p>
        </w:tc>
        <w:tc>
          <w:tcPr>
            <w:tcW w:w="2464" w:type="dxa"/>
          </w:tcPr>
          <w:p w:rsidR="00433A7E" w:rsidRPr="00433A7E" w:rsidRDefault="00433A7E" w:rsidP="00A60DA3">
            <w:pPr>
              <w:rPr>
                <w:b/>
              </w:rPr>
            </w:pPr>
            <w:proofErr w:type="spellStart"/>
            <w:r w:rsidRPr="00433A7E">
              <w:rPr>
                <w:b/>
              </w:rPr>
              <w:t>Комментарии</w:t>
            </w:r>
            <w:proofErr w:type="spellEnd"/>
          </w:p>
        </w:tc>
      </w:tr>
      <w:tr w:rsidR="00670E45" w:rsidRPr="00542F1C" w:rsidTr="00CB2082">
        <w:tc>
          <w:tcPr>
            <w:tcW w:w="3597" w:type="dxa"/>
          </w:tcPr>
          <w:p w:rsidR="00670E45" w:rsidRPr="00542F1C" w:rsidRDefault="00670E45" w:rsidP="00A60DA3">
            <w:pPr>
              <w:rPr>
                <w:sz w:val="20"/>
                <w:szCs w:val="20"/>
                <w:lang w:val="en-US"/>
              </w:rPr>
            </w:pPr>
            <w:r w:rsidRPr="00542F1C">
              <w:rPr>
                <w:sz w:val="20"/>
                <w:szCs w:val="20"/>
                <w:lang w:val="en-US"/>
              </w:rPr>
              <w:t>The patient, a 16 year old male, presented with a non-vital mandibular left first molar during orthodontic treatment due to a leaking occlusal restoration.</w:t>
            </w:r>
          </w:p>
        </w:tc>
        <w:tc>
          <w:tcPr>
            <w:tcW w:w="3284" w:type="dxa"/>
          </w:tcPr>
          <w:p w:rsidR="00670E45" w:rsidRPr="00542F1C" w:rsidRDefault="00670E45" w:rsidP="00670E45">
            <w:pPr>
              <w:rPr>
                <w:sz w:val="20"/>
                <w:szCs w:val="20"/>
              </w:rPr>
            </w:pPr>
            <w:r w:rsidRPr="00542F1C">
              <w:rPr>
                <w:sz w:val="20"/>
                <w:szCs w:val="20"/>
              </w:rPr>
              <w:t xml:space="preserve">Пациент, мужчина шестнадцати лет, обратился с </w:t>
            </w:r>
            <w:proofErr w:type="spellStart"/>
            <w:r w:rsidRPr="00542F1C">
              <w:rPr>
                <w:sz w:val="20"/>
                <w:szCs w:val="20"/>
              </w:rPr>
              <w:t>невитальным</w:t>
            </w:r>
            <w:proofErr w:type="spellEnd"/>
            <w:r w:rsidRPr="00542F1C">
              <w:rPr>
                <w:sz w:val="20"/>
                <w:szCs w:val="20"/>
              </w:rPr>
              <w:t xml:space="preserve"> первым моляром нижней челюсти справа во время </w:t>
            </w:r>
            <w:proofErr w:type="spellStart"/>
            <w:r w:rsidRPr="00542F1C">
              <w:rPr>
                <w:sz w:val="20"/>
                <w:szCs w:val="20"/>
              </w:rPr>
              <w:t>ортодонтического</w:t>
            </w:r>
            <w:proofErr w:type="spellEnd"/>
            <w:r w:rsidRPr="00542F1C">
              <w:rPr>
                <w:sz w:val="20"/>
                <w:szCs w:val="20"/>
              </w:rPr>
              <w:t xml:space="preserve"> лечения, в связи с несостоятельностью пломбы на жевательной поверхности.</w:t>
            </w:r>
          </w:p>
        </w:tc>
        <w:tc>
          <w:tcPr>
            <w:tcW w:w="2464" w:type="dxa"/>
          </w:tcPr>
          <w:p w:rsidR="00670E45" w:rsidRPr="00542F1C" w:rsidRDefault="00670E45" w:rsidP="00A60DA3">
            <w:pPr>
              <w:rPr>
                <w:sz w:val="20"/>
                <w:szCs w:val="20"/>
              </w:rPr>
            </w:pPr>
          </w:p>
        </w:tc>
      </w:tr>
      <w:tr w:rsidR="00CB2082" w:rsidRPr="00542F1C" w:rsidTr="00CB2082">
        <w:tc>
          <w:tcPr>
            <w:tcW w:w="3597" w:type="dxa"/>
          </w:tcPr>
          <w:p w:rsidR="00CB2082" w:rsidRPr="00542F1C" w:rsidRDefault="00CB2082" w:rsidP="00A60DA3">
            <w:pPr>
              <w:rPr>
                <w:sz w:val="20"/>
                <w:szCs w:val="20"/>
                <w:lang w:val="en-US"/>
              </w:rPr>
            </w:pPr>
            <w:r w:rsidRPr="00542F1C">
              <w:rPr>
                <w:sz w:val="20"/>
                <w:szCs w:val="20"/>
                <w:lang w:val="en-US"/>
              </w:rPr>
              <w:t>Four root canal orifices were detected, and the canals negotiated to patency using a size 10 K file.</w:t>
            </w:r>
          </w:p>
        </w:tc>
        <w:tc>
          <w:tcPr>
            <w:tcW w:w="3284" w:type="dxa"/>
          </w:tcPr>
          <w:p w:rsidR="00CB2082" w:rsidRPr="00542F1C" w:rsidRDefault="00CB2082" w:rsidP="00A60DA3">
            <w:pPr>
              <w:rPr>
                <w:sz w:val="20"/>
                <w:szCs w:val="20"/>
              </w:rPr>
            </w:pPr>
            <w:r w:rsidRPr="00542F1C">
              <w:rPr>
                <w:sz w:val="20"/>
                <w:szCs w:val="20"/>
              </w:rPr>
              <w:t xml:space="preserve">Обнаружены четыре устья корневых каналов, осуществлена проверка их проходимости эндодонтическим инструментом типа </w:t>
            </w:r>
            <w:r w:rsidRPr="00542F1C">
              <w:rPr>
                <w:sz w:val="20"/>
                <w:szCs w:val="20"/>
                <w:lang w:val="en-US"/>
              </w:rPr>
              <w:t>K</w:t>
            </w:r>
            <w:r w:rsidRPr="00542F1C">
              <w:rPr>
                <w:sz w:val="20"/>
                <w:szCs w:val="20"/>
              </w:rPr>
              <w:t>-</w:t>
            </w:r>
            <w:r w:rsidRPr="00542F1C">
              <w:rPr>
                <w:sz w:val="20"/>
                <w:szCs w:val="20"/>
                <w:lang w:val="en-US"/>
              </w:rPr>
              <w:t>file</w:t>
            </w:r>
            <w:r w:rsidRPr="00542F1C">
              <w:rPr>
                <w:sz w:val="20"/>
                <w:szCs w:val="20"/>
              </w:rPr>
              <w:t xml:space="preserve"> №10.</w:t>
            </w:r>
          </w:p>
        </w:tc>
        <w:tc>
          <w:tcPr>
            <w:tcW w:w="2464" w:type="dxa"/>
          </w:tcPr>
          <w:p w:rsidR="00CB2082" w:rsidRPr="00542F1C" w:rsidRDefault="00CB2082" w:rsidP="00A60DA3">
            <w:pPr>
              <w:rPr>
                <w:sz w:val="20"/>
                <w:szCs w:val="20"/>
              </w:rPr>
            </w:pPr>
          </w:p>
        </w:tc>
      </w:tr>
      <w:tr w:rsidR="00CB2082" w:rsidRPr="00542F1C" w:rsidTr="00CB2082">
        <w:tc>
          <w:tcPr>
            <w:tcW w:w="3597" w:type="dxa"/>
          </w:tcPr>
          <w:p w:rsidR="00CB2082" w:rsidRPr="00542F1C" w:rsidRDefault="00CB2082" w:rsidP="00CB2082">
            <w:pPr>
              <w:rPr>
                <w:sz w:val="20"/>
                <w:szCs w:val="20"/>
                <w:lang w:val="en-US"/>
              </w:rPr>
            </w:pPr>
            <w:r w:rsidRPr="00542F1C">
              <w:rPr>
                <w:sz w:val="20"/>
                <w:szCs w:val="20"/>
                <w:lang w:val="en-US"/>
              </w:rPr>
              <w:t>It was noted that the size 10 K file felt very loose in the canals and it was possible to take even a size a 15 and 20 K file to full working length without any problem.</w:t>
            </w:r>
          </w:p>
        </w:tc>
        <w:tc>
          <w:tcPr>
            <w:tcW w:w="3284" w:type="dxa"/>
          </w:tcPr>
          <w:p w:rsidR="00CB2082" w:rsidRPr="00542F1C" w:rsidRDefault="00CB2082" w:rsidP="00CB2082">
            <w:pPr>
              <w:rPr>
                <w:sz w:val="20"/>
                <w:szCs w:val="20"/>
              </w:rPr>
            </w:pPr>
            <w:r w:rsidRPr="00542F1C">
              <w:rPr>
                <w:sz w:val="20"/>
                <w:szCs w:val="20"/>
              </w:rPr>
              <w:t xml:space="preserve">Отмечено, что этот инструмент проходил во все каналы очень свободно, была возможность введения инструментов №15 и №20 на рабочую длину без каких-либо проблем. </w:t>
            </w:r>
          </w:p>
        </w:tc>
        <w:tc>
          <w:tcPr>
            <w:tcW w:w="2464" w:type="dxa"/>
          </w:tcPr>
          <w:p w:rsidR="00CB2082" w:rsidRPr="00542F1C" w:rsidRDefault="00CB2082" w:rsidP="00A60DA3">
            <w:pPr>
              <w:rPr>
                <w:sz w:val="20"/>
                <w:szCs w:val="20"/>
              </w:rPr>
            </w:pPr>
          </w:p>
        </w:tc>
      </w:tr>
      <w:tr w:rsidR="00CB2082" w:rsidRPr="00542F1C" w:rsidTr="00CB2082">
        <w:tc>
          <w:tcPr>
            <w:tcW w:w="3597" w:type="dxa"/>
          </w:tcPr>
          <w:p w:rsidR="00CB2082" w:rsidRPr="00542F1C" w:rsidRDefault="00CB2082" w:rsidP="00A60DA3">
            <w:pPr>
              <w:rPr>
                <w:sz w:val="20"/>
                <w:szCs w:val="20"/>
                <w:lang w:val="en-US"/>
              </w:rPr>
            </w:pPr>
            <w:r w:rsidRPr="00542F1C">
              <w:rPr>
                <w:sz w:val="20"/>
                <w:szCs w:val="20"/>
                <w:lang w:val="en-US"/>
              </w:rPr>
              <w:t>A size 25 K file was the first file that felt a bit tight at full working length, but still loose in the coronal aspects of the root canal systems.</w:t>
            </w:r>
          </w:p>
        </w:tc>
        <w:tc>
          <w:tcPr>
            <w:tcW w:w="3284" w:type="dxa"/>
          </w:tcPr>
          <w:p w:rsidR="00CB2082" w:rsidRPr="00542F1C" w:rsidRDefault="00CB2082" w:rsidP="00A60DA3">
            <w:pPr>
              <w:rPr>
                <w:sz w:val="20"/>
                <w:szCs w:val="20"/>
              </w:rPr>
            </w:pPr>
            <w:r w:rsidRPr="00542F1C">
              <w:rPr>
                <w:sz w:val="20"/>
                <w:szCs w:val="20"/>
              </w:rPr>
              <w:t xml:space="preserve">Инструмент типа </w:t>
            </w:r>
            <w:r w:rsidRPr="00542F1C">
              <w:rPr>
                <w:sz w:val="20"/>
                <w:szCs w:val="20"/>
                <w:lang w:val="en-US"/>
              </w:rPr>
              <w:t>K</w:t>
            </w:r>
            <w:r w:rsidRPr="00542F1C">
              <w:rPr>
                <w:sz w:val="20"/>
                <w:szCs w:val="20"/>
              </w:rPr>
              <w:t>-</w:t>
            </w:r>
            <w:r w:rsidRPr="00542F1C">
              <w:rPr>
                <w:sz w:val="20"/>
                <w:szCs w:val="20"/>
                <w:lang w:val="en-US"/>
              </w:rPr>
              <w:t>file</w:t>
            </w:r>
            <w:r w:rsidRPr="00542F1C">
              <w:rPr>
                <w:sz w:val="20"/>
                <w:szCs w:val="20"/>
              </w:rPr>
              <w:t xml:space="preserve"> №25 был первым, который можно было ввести на полную рабочую длину с некоторым затруднением; но он все равно свободно проходил в </w:t>
            </w:r>
            <w:proofErr w:type="spellStart"/>
            <w:r w:rsidRPr="00542F1C">
              <w:rPr>
                <w:sz w:val="20"/>
                <w:szCs w:val="20"/>
              </w:rPr>
              <w:lastRenderedPageBreak/>
              <w:t>коронковых</w:t>
            </w:r>
            <w:proofErr w:type="spellEnd"/>
            <w:r w:rsidRPr="00542F1C">
              <w:rPr>
                <w:sz w:val="20"/>
                <w:szCs w:val="20"/>
              </w:rPr>
              <w:t xml:space="preserve"> частях систем корневых каналов.</w:t>
            </w:r>
          </w:p>
        </w:tc>
        <w:tc>
          <w:tcPr>
            <w:tcW w:w="2464" w:type="dxa"/>
          </w:tcPr>
          <w:p w:rsidR="00CB2082" w:rsidRPr="00542F1C" w:rsidRDefault="00CB2082" w:rsidP="00A60DA3">
            <w:pPr>
              <w:rPr>
                <w:sz w:val="20"/>
                <w:szCs w:val="20"/>
              </w:rPr>
            </w:pPr>
          </w:p>
        </w:tc>
      </w:tr>
      <w:tr w:rsidR="00CB2082" w:rsidRPr="00542F1C" w:rsidTr="00CB2082">
        <w:tc>
          <w:tcPr>
            <w:tcW w:w="3597" w:type="dxa"/>
          </w:tcPr>
          <w:p w:rsidR="00CB2082" w:rsidRPr="00542F1C" w:rsidRDefault="00CB2082" w:rsidP="00A60DA3">
            <w:pPr>
              <w:rPr>
                <w:sz w:val="20"/>
                <w:szCs w:val="20"/>
                <w:lang w:val="en-US"/>
              </w:rPr>
            </w:pPr>
            <w:r w:rsidRPr="00542F1C">
              <w:rPr>
                <w:sz w:val="20"/>
                <w:szCs w:val="20"/>
                <w:lang w:val="en-US"/>
              </w:rPr>
              <w:lastRenderedPageBreak/>
              <w:t xml:space="preserve">A size medium </w:t>
            </w:r>
            <w:proofErr w:type="spellStart"/>
            <w:r w:rsidRPr="00542F1C">
              <w:rPr>
                <w:sz w:val="20"/>
                <w:szCs w:val="20"/>
                <w:lang w:val="en-US"/>
              </w:rPr>
              <w:t>WaveOne</w:t>
            </w:r>
            <w:proofErr w:type="spellEnd"/>
            <w:r w:rsidRPr="00542F1C">
              <w:rPr>
                <w:sz w:val="20"/>
                <w:szCs w:val="20"/>
                <w:lang w:val="en-US"/>
              </w:rPr>
              <w:t>® Gold reciprocating file was selected for root canal preparation, taking into account the size of the root canals.</w:t>
            </w:r>
          </w:p>
        </w:tc>
        <w:tc>
          <w:tcPr>
            <w:tcW w:w="3284" w:type="dxa"/>
          </w:tcPr>
          <w:p w:rsidR="00CB2082" w:rsidRPr="00542F1C" w:rsidRDefault="00CB2082" w:rsidP="00670E45">
            <w:pPr>
              <w:rPr>
                <w:sz w:val="20"/>
                <w:szCs w:val="20"/>
              </w:rPr>
            </w:pPr>
            <w:r w:rsidRPr="00542F1C">
              <w:rPr>
                <w:sz w:val="20"/>
                <w:szCs w:val="20"/>
              </w:rPr>
              <w:t xml:space="preserve">Принимая во внимание размеры корневых каналов, для препарирования выбран эндодонтический инструмент </w:t>
            </w:r>
            <w:proofErr w:type="spellStart"/>
            <w:r w:rsidRPr="00542F1C">
              <w:rPr>
                <w:sz w:val="20"/>
                <w:szCs w:val="20"/>
                <w:lang w:val="en-US"/>
              </w:rPr>
              <w:t>WaveOne</w:t>
            </w:r>
            <w:proofErr w:type="spellEnd"/>
            <w:r w:rsidRPr="00542F1C">
              <w:rPr>
                <w:sz w:val="20"/>
                <w:szCs w:val="20"/>
              </w:rPr>
              <w:t>® среднего размера, предназначенный для возвратно-поступательных движений.</w:t>
            </w:r>
          </w:p>
        </w:tc>
        <w:tc>
          <w:tcPr>
            <w:tcW w:w="2464" w:type="dxa"/>
          </w:tcPr>
          <w:p w:rsidR="00CB2082" w:rsidRPr="00542F1C" w:rsidRDefault="00CB2082" w:rsidP="00A60DA3">
            <w:pPr>
              <w:rPr>
                <w:sz w:val="20"/>
                <w:szCs w:val="20"/>
              </w:rPr>
            </w:pPr>
          </w:p>
        </w:tc>
      </w:tr>
      <w:tr w:rsidR="00CB2082" w:rsidRPr="00542F1C" w:rsidTr="00CB2082">
        <w:tc>
          <w:tcPr>
            <w:tcW w:w="3597" w:type="dxa"/>
          </w:tcPr>
          <w:p w:rsidR="00CB2082" w:rsidRPr="00542F1C" w:rsidRDefault="00CB2082" w:rsidP="00A60DA3">
            <w:pPr>
              <w:rPr>
                <w:sz w:val="20"/>
                <w:szCs w:val="20"/>
                <w:lang w:val="en-US"/>
              </w:rPr>
            </w:pPr>
            <w:r w:rsidRPr="00542F1C">
              <w:rPr>
                <w:sz w:val="20"/>
                <w:szCs w:val="20"/>
                <w:lang w:val="en-US"/>
              </w:rPr>
              <w:t xml:space="preserve">The access cavity was filled with 3.5% sodium hypochlorite and here you can see the preparation of the mesial buccal and the mesial lingual root canals using the single </w:t>
            </w:r>
            <w:proofErr w:type="spellStart"/>
            <w:r w:rsidRPr="00542F1C">
              <w:rPr>
                <w:sz w:val="20"/>
                <w:szCs w:val="20"/>
                <w:lang w:val="en-US"/>
              </w:rPr>
              <w:t>WaveOne</w:t>
            </w:r>
            <w:proofErr w:type="spellEnd"/>
            <w:r w:rsidRPr="00542F1C">
              <w:rPr>
                <w:sz w:val="20"/>
                <w:szCs w:val="20"/>
                <w:lang w:val="en-US"/>
              </w:rPr>
              <w:t xml:space="preserve"> Gold reciprocating instrument.</w:t>
            </w:r>
          </w:p>
        </w:tc>
        <w:tc>
          <w:tcPr>
            <w:tcW w:w="3284" w:type="dxa"/>
          </w:tcPr>
          <w:p w:rsidR="00CB2082" w:rsidRPr="00542F1C" w:rsidRDefault="00CB2082" w:rsidP="00A60DA3">
            <w:pPr>
              <w:rPr>
                <w:sz w:val="20"/>
                <w:szCs w:val="20"/>
              </w:rPr>
            </w:pPr>
            <w:r w:rsidRPr="00542F1C">
              <w:rPr>
                <w:sz w:val="20"/>
                <w:szCs w:val="20"/>
              </w:rPr>
              <w:t>Полость для доступа зап</w:t>
            </w:r>
            <w:r w:rsidR="00AE4DDC" w:rsidRPr="00542F1C">
              <w:rPr>
                <w:sz w:val="20"/>
                <w:szCs w:val="20"/>
              </w:rPr>
              <w:t xml:space="preserve">олнена 3,5% раствором </w:t>
            </w:r>
            <w:proofErr w:type="spellStart"/>
            <w:r w:rsidR="00AE4DDC" w:rsidRPr="00542F1C">
              <w:rPr>
                <w:sz w:val="20"/>
                <w:szCs w:val="20"/>
              </w:rPr>
              <w:t>гипохлорид</w:t>
            </w:r>
            <w:r w:rsidRPr="00542F1C">
              <w:rPr>
                <w:sz w:val="20"/>
                <w:szCs w:val="20"/>
              </w:rPr>
              <w:t>а</w:t>
            </w:r>
            <w:proofErr w:type="spellEnd"/>
            <w:r w:rsidRPr="00542F1C">
              <w:rPr>
                <w:sz w:val="20"/>
                <w:szCs w:val="20"/>
              </w:rPr>
              <w:t xml:space="preserve"> натрия; на изображении вы </w:t>
            </w:r>
            <w:r w:rsidR="00AE4DDC" w:rsidRPr="00542F1C">
              <w:rPr>
                <w:sz w:val="20"/>
                <w:szCs w:val="20"/>
              </w:rPr>
              <w:t>можете видеть препарирование медиального щечного и мед</w:t>
            </w:r>
            <w:r w:rsidRPr="00542F1C">
              <w:rPr>
                <w:sz w:val="20"/>
                <w:szCs w:val="20"/>
              </w:rPr>
              <w:t xml:space="preserve">иального язычного корневых каналов с помощью одного эндодонтического инструмента </w:t>
            </w:r>
            <w:proofErr w:type="spellStart"/>
            <w:r w:rsidRPr="00542F1C">
              <w:rPr>
                <w:sz w:val="20"/>
                <w:szCs w:val="20"/>
                <w:lang w:val="en-US"/>
              </w:rPr>
              <w:t>WaveOne</w:t>
            </w:r>
            <w:proofErr w:type="spellEnd"/>
            <w:r w:rsidRPr="00542F1C">
              <w:rPr>
                <w:sz w:val="20"/>
                <w:szCs w:val="20"/>
              </w:rPr>
              <w:t xml:space="preserve"> </w:t>
            </w:r>
            <w:r w:rsidRPr="00542F1C">
              <w:rPr>
                <w:sz w:val="20"/>
                <w:szCs w:val="20"/>
                <w:lang w:val="en-US"/>
              </w:rPr>
              <w:t>Gold</w:t>
            </w:r>
            <w:r w:rsidRPr="00542F1C">
              <w:rPr>
                <w:sz w:val="20"/>
                <w:szCs w:val="20"/>
              </w:rPr>
              <w:t>, предназначенного для возвратно-поступательных движений.</w:t>
            </w:r>
          </w:p>
        </w:tc>
        <w:tc>
          <w:tcPr>
            <w:tcW w:w="2464" w:type="dxa"/>
          </w:tcPr>
          <w:p w:rsidR="00CB2082" w:rsidRPr="00542F1C" w:rsidRDefault="00CB2082" w:rsidP="00A60DA3">
            <w:pPr>
              <w:rPr>
                <w:sz w:val="20"/>
                <w:szCs w:val="20"/>
              </w:rPr>
            </w:pPr>
          </w:p>
        </w:tc>
      </w:tr>
      <w:tr w:rsidR="00CB2082" w:rsidRPr="00542F1C" w:rsidTr="00CB2082">
        <w:tc>
          <w:tcPr>
            <w:tcW w:w="3597" w:type="dxa"/>
          </w:tcPr>
          <w:p w:rsidR="00CB2082" w:rsidRPr="00542F1C" w:rsidRDefault="00CB2082" w:rsidP="00A60DA3">
            <w:pPr>
              <w:rPr>
                <w:sz w:val="20"/>
                <w:szCs w:val="20"/>
                <w:lang w:val="en-US"/>
              </w:rPr>
            </w:pPr>
            <w:r w:rsidRPr="00542F1C">
              <w:rPr>
                <w:sz w:val="20"/>
                <w:szCs w:val="20"/>
                <w:lang w:val="en-US"/>
              </w:rPr>
              <w:t xml:space="preserve">The reciprocating </w:t>
            </w:r>
            <w:proofErr w:type="spellStart"/>
            <w:r w:rsidRPr="00542F1C">
              <w:rPr>
                <w:sz w:val="20"/>
                <w:szCs w:val="20"/>
                <w:lang w:val="en-US"/>
              </w:rPr>
              <w:t>WaveOne</w:t>
            </w:r>
            <w:proofErr w:type="spellEnd"/>
            <w:r w:rsidRPr="00542F1C">
              <w:rPr>
                <w:sz w:val="20"/>
                <w:szCs w:val="20"/>
                <w:lang w:val="en-US"/>
              </w:rPr>
              <w:t xml:space="preserve"> Gold instruments provided clinician with the following advantages.</w:t>
            </w:r>
          </w:p>
        </w:tc>
        <w:tc>
          <w:tcPr>
            <w:tcW w:w="3284" w:type="dxa"/>
          </w:tcPr>
          <w:p w:rsidR="00CB2082" w:rsidRPr="00542F1C" w:rsidRDefault="00CB2082" w:rsidP="00A60DA3">
            <w:pPr>
              <w:rPr>
                <w:sz w:val="20"/>
                <w:szCs w:val="20"/>
              </w:rPr>
            </w:pPr>
            <w:r w:rsidRPr="00542F1C">
              <w:rPr>
                <w:sz w:val="20"/>
                <w:szCs w:val="20"/>
              </w:rPr>
              <w:t xml:space="preserve">Инструменты </w:t>
            </w:r>
            <w:proofErr w:type="spellStart"/>
            <w:r w:rsidRPr="00542F1C">
              <w:rPr>
                <w:sz w:val="20"/>
                <w:szCs w:val="20"/>
                <w:lang w:val="en-US"/>
              </w:rPr>
              <w:t>WaveOne</w:t>
            </w:r>
            <w:proofErr w:type="spellEnd"/>
            <w:r w:rsidRPr="00542F1C">
              <w:rPr>
                <w:sz w:val="20"/>
                <w:szCs w:val="20"/>
              </w:rPr>
              <w:t xml:space="preserve"> </w:t>
            </w:r>
            <w:r w:rsidRPr="00542F1C">
              <w:rPr>
                <w:sz w:val="20"/>
                <w:szCs w:val="20"/>
                <w:lang w:val="en-US"/>
              </w:rPr>
              <w:t>Gold</w:t>
            </w:r>
            <w:r w:rsidRPr="00542F1C">
              <w:rPr>
                <w:sz w:val="20"/>
                <w:szCs w:val="20"/>
              </w:rPr>
              <w:t>, предназначенные для возвратно-поступательных движений, обеспечивают врачу следующие преимущества:</w:t>
            </w:r>
          </w:p>
        </w:tc>
        <w:tc>
          <w:tcPr>
            <w:tcW w:w="2464" w:type="dxa"/>
          </w:tcPr>
          <w:p w:rsidR="00CB2082" w:rsidRPr="00542F1C" w:rsidRDefault="00CB2082" w:rsidP="00A60DA3">
            <w:pPr>
              <w:rPr>
                <w:sz w:val="20"/>
                <w:szCs w:val="20"/>
              </w:rPr>
            </w:pPr>
          </w:p>
        </w:tc>
      </w:tr>
      <w:tr w:rsidR="00CB2082" w:rsidRPr="00542F1C" w:rsidTr="00CB2082">
        <w:tc>
          <w:tcPr>
            <w:tcW w:w="3597" w:type="dxa"/>
          </w:tcPr>
          <w:p w:rsidR="00CB2082" w:rsidRPr="00542F1C" w:rsidRDefault="00CB2082" w:rsidP="00A60DA3">
            <w:pPr>
              <w:rPr>
                <w:sz w:val="20"/>
                <w:szCs w:val="20"/>
                <w:lang w:val="en-US"/>
              </w:rPr>
            </w:pPr>
            <w:r w:rsidRPr="00542F1C">
              <w:rPr>
                <w:sz w:val="20"/>
                <w:szCs w:val="20"/>
                <w:lang w:val="en-US"/>
              </w:rPr>
              <w:t>First, the improved design and metallurgy results in instruments that demonstrates more cutting efficiency, flexibility, and nearly complete elimination of file fracture, if the instruments are used single-use.</w:t>
            </w:r>
          </w:p>
        </w:tc>
        <w:tc>
          <w:tcPr>
            <w:tcW w:w="3284" w:type="dxa"/>
          </w:tcPr>
          <w:p w:rsidR="00CB2082" w:rsidRPr="00542F1C" w:rsidRDefault="00CB2082" w:rsidP="00AE4DDC">
            <w:pPr>
              <w:rPr>
                <w:sz w:val="20"/>
                <w:szCs w:val="20"/>
              </w:rPr>
            </w:pPr>
            <w:r w:rsidRPr="00542F1C">
              <w:rPr>
                <w:sz w:val="20"/>
                <w:szCs w:val="20"/>
              </w:rPr>
              <w:t xml:space="preserve">Во-первых, улучшенная конструкция </w:t>
            </w:r>
            <w:r w:rsidR="00AE4DDC" w:rsidRPr="00542F1C">
              <w:rPr>
                <w:sz w:val="20"/>
                <w:szCs w:val="20"/>
              </w:rPr>
              <w:t>обеспечивае</w:t>
            </w:r>
            <w:r w:rsidRPr="00542F1C">
              <w:rPr>
                <w:sz w:val="20"/>
                <w:szCs w:val="20"/>
              </w:rPr>
              <w:t>т инструменту более высокие режущие свойства, гибкость, а также практически исключают поломку инструмента, если он используется однократно.</w:t>
            </w:r>
          </w:p>
        </w:tc>
        <w:tc>
          <w:tcPr>
            <w:tcW w:w="2464" w:type="dxa"/>
          </w:tcPr>
          <w:p w:rsidR="00CB2082" w:rsidRPr="00542F1C" w:rsidRDefault="00CB2082" w:rsidP="00A60DA3">
            <w:pPr>
              <w:rPr>
                <w:sz w:val="20"/>
                <w:szCs w:val="20"/>
              </w:rPr>
            </w:pPr>
          </w:p>
        </w:tc>
      </w:tr>
      <w:tr w:rsidR="00CB2082" w:rsidRPr="00542F1C" w:rsidTr="00CB2082">
        <w:tc>
          <w:tcPr>
            <w:tcW w:w="3597" w:type="dxa"/>
          </w:tcPr>
          <w:p w:rsidR="00CB2082" w:rsidRPr="00542F1C" w:rsidRDefault="00CB2082" w:rsidP="00A60DA3">
            <w:pPr>
              <w:rPr>
                <w:sz w:val="20"/>
                <w:szCs w:val="20"/>
                <w:lang w:val="en-US"/>
              </w:rPr>
            </w:pPr>
            <w:r w:rsidRPr="00542F1C">
              <w:rPr>
                <w:sz w:val="20"/>
                <w:szCs w:val="20"/>
                <w:lang w:val="en-US"/>
              </w:rPr>
              <w:t xml:space="preserve">Secondly, in approximately 80 to 85% of clinical cases, the clinician will only need a single </w:t>
            </w:r>
            <w:proofErr w:type="spellStart"/>
            <w:r w:rsidRPr="00542F1C">
              <w:rPr>
                <w:sz w:val="20"/>
                <w:szCs w:val="20"/>
                <w:lang w:val="en-US"/>
              </w:rPr>
              <w:t>WaveOne</w:t>
            </w:r>
            <w:proofErr w:type="spellEnd"/>
            <w:r w:rsidRPr="00542F1C">
              <w:rPr>
                <w:sz w:val="20"/>
                <w:szCs w:val="20"/>
                <w:lang w:val="en-US"/>
              </w:rPr>
              <w:t xml:space="preserve"> Gold file to complete canal instrumentation.</w:t>
            </w:r>
          </w:p>
        </w:tc>
        <w:tc>
          <w:tcPr>
            <w:tcW w:w="3284" w:type="dxa"/>
          </w:tcPr>
          <w:p w:rsidR="00CB2082" w:rsidRPr="00542F1C" w:rsidRDefault="00CB2082" w:rsidP="00AE4DDC">
            <w:pPr>
              <w:rPr>
                <w:sz w:val="20"/>
                <w:szCs w:val="20"/>
              </w:rPr>
            </w:pPr>
            <w:r w:rsidRPr="00542F1C">
              <w:rPr>
                <w:sz w:val="20"/>
                <w:szCs w:val="20"/>
              </w:rPr>
              <w:t xml:space="preserve">Во-вторых, приблизительно в 80-85% случаев врачу необходим только один инструмент  </w:t>
            </w:r>
            <w:proofErr w:type="spellStart"/>
            <w:r w:rsidRPr="00542F1C">
              <w:rPr>
                <w:sz w:val="20"/>
                <w:szCs w:val="20"/>
                <w:lang w:val="en-US"/>
              </w:rPr>
              <w:t>WaveOne</w:t>
            </w:r>
            <w:proofErr w:type="spellEnd"/>
            <w:r w:rsidRPr="00542F1C">
              <w:rPr>
                <w:sz w:val="20"/>
                <w:szCs w:val="20"/>
              </w:rPr>
              <w:t xml:space="preserve"> </w:t>
            </w:r>
            <w:r w:rsidRPr="00542F1C">
              <w:rPr>
                <w:sz w:val="20"/>
                <w:szCs w:val="20"/>
                <w:lang w:val="en-US"/>
              </w:rPr>
              <w:t>Gold</w:t>
            </w:r>
            <w:r w:rsidRPr="00542F1C">
              <w:rPr>
                <w:sz w:val="20"/>
                <w:szCs w:val="20"/>
              </w:rPr>
              <w:t xml:space="preserve"> для полной инструментальной обработки канала.</w:t>
            </w:r>
          </w:p>
        </w:tc>
        <w:tc>
          <w:tcPr>
            <w:tcW w:w="2464" w:type="dxa"/>
          </w:tcPr>
          <w:p w:rsidR="00CB2082" w:rsidRPr="00542F1C" w:rsidRDefault="00CB2082" w:rsidP="00A60DA3">
            <w:pPr>
              <w:rPr>
                <w:sz w:val="20"/>
                <w:szCs w:val="20"/>
              </w:rPr>
            </w:pPr>
          </w:p>
        </w:tc>
      </w:tr>
      <w:tr w:rsidR="00CB2082" w:rsidRPr="00542F1C" w:rsidTr="00CB2082">
        <w:tc>
          <w:tcPr>
            <w:tcW w:w="3597" w:type="dxa"/>
          </w:tcPr>
          <w:p w:rsidR="00CB2082" w:rsidRPr="00542F1C" w:rsidRDefault="00CB2082" w:rsidP="00A60DA3">
            <w:pPr>
              <w:rPr>
                <w:sz w:val="20"/>
                <w:szCs w:val="20"/>
                <w:lang w:val="en-US"/>
              </w:rPr>
            </w:pPr>
            <w:r w:rsidRPr="00542F1C">
              <w:rPr>
                <w:sz w:val="20"/>
                <w:szCs w:val="20"/>
                <w:lang w:val="en-US"/>
              </w:rPr>
              <w:t xml:space="preserve">And finally, the single-file shaping technique with the </w:t>
            </w:r>
            <w:proofErr w:type="spellStart"/>
            <w:r w:rsidRPr="00542F1C">
              <w:rPr>
                <w:sz w:val="20"/>
                <w:szCs w:val="20"/>
                <w:lang w:val="en-US"/>
              </w:rPr>
              <w:t>WaveOne</w:t>
            </w:r>
            <w:proofErr w:type="spellEnd"/>
            <w:r w:rsidRPr="00542F1C">
              <w:rPr>
                <w:sz w:val="20"/>
                <w:szCs w:val="20"/>
                <w:lang w:val="en-US"/>
              </w:rPr>
              <w:t xml:space="preserve"> Gold medium file, as illustrated in this case report, provided us with safety, simplicity, and a superior result.</w:t>
            </w:r>
          </w:p>
        </w:tc>
        <w:tc>
          <w:tcPr>
            <w:tcW w:w="3284" w:type="dxa"/>
          </w:tcPr>
          <w:p w:rsidR="00CB2082" w:rsidRPr="00542F1C" w:rsidRDefault="00CB2082" w:rsidP="00A60DA3">
            <w:pPr>
              <w:rPr>
                <w:sz w:val="20"/>
                <w:szCs w:val="20"/>
              </w:rPr>
            </w:pPr>
            <w:r w:rsidRPr="00542F1C">
              <w:rPr>
                <w:sz w:val="20"/>
                <w:szCs w:val="20"/>
              </w:rPr>
              <w:t xml:space="preserve">И, наконец, методика обработки корневого канала одним инструментом </w:t>
            </w:r>
            <w:proofErr w:type="spellStart"/>
            <w:r w:rsidRPr="00542F1C">
              <w:rPr>
                <w:sz w:val="20"/>
                <w:szCs w:val="20"/>
                <w:lang w:val="en-US"/>
              </w:rPr>
              <w:t>WaveOne</w:t>
            </w:r>
            <w:proofErr w:type="spellEnd"/>
            <w:r w:rsidRPr="00542F1C">
              <w:rPr>
                <w:sz w:val="20"/>
                <w:szCs w:val="20"/>
              </w:rPr>
              <w:t xml:space="preserve"> </w:t>
            </w:r>
            <w:r w:rsidRPr="00542F1C">
              <w:rPr>
                <w:sz w:val="20"/>
                <w:szCs w:val="20"/>
                <w:lang w:val="en-US"/>
              </w:rPr>
              <w:t>Gold</w:t>
            </w:r>
            <w:r w:rsidRPr="00542F1C">
              <w:rPr>
                <w:sz w:val="20"/>
                <w:szCs w:val="20"/>
              </w:rPr>
              <w:t xml:space="preserve"> среднего размера, как показано в данном клиническом случае, обеспечивает безопасность, простоту и при этом отличный результат.</w:t>
            </w:r>
          </w:p>
        </w:tc>
        <w:tc>
          <w:tcPr>
            <w:tcW w:w="2464" w:type="dxa"/>
          </w:tcPr>
          <w:p w:rsidR="00CB2082" w:rsidRPr="00542F1C" w:rsidRDefault="00CB2082" w:rsidP="00A60DA3">
            <w:pPr>
              <w:rPr>
                <w:sz w:val="20"/>
                <w:szCs w:val="20"/>
              </w:rPr>
            </w:pPr>
          </w:p>
        </w:tc>
      </w:tr>
      <w:tr w:rsidR="00CB2082" w:rsidRPr="00542F1C" w:rsidTr="00CB2082">
        <w:tc>
          <w:tcPr>
            <w:tcW w:w="3597" w:type="dxa"/>
          </w:tcPr>
          <w:p w:rsidR="00CB2082" w:rsidRPr="00542F1C" w:rsidRDefault="00670E45" w:rsidP="00A60DA3">
            <w:pPr>
              <w:rPr>
                <w:sz w:val="20"/>
                <w:szCs w:val="20"/>
                <w:lang w:val="en-US"/>
              </w:rPr>
            </w:pPr>
            <w:r w:rsidRPr="00542F1C">
              <w:rPr>
                <w:sz w:val="20"/>
                <w:szCs w:val="20"/>
                <w:lang w:val="en-US"/>
              </w:rPr>
              <w:lastRenderedPageBreak/>
              <w:t xml:space="preserve">Here you can see the occlusal view of the tooth showing the Class I access cavity after </w:t>
            </w:r>
            <w:proofErr w:type="spellStart"/>
            <w:r w:rsidRPr="00542F1C">
              <w:rPr>
                <w:sz w:val="20"/>
                <w:szCs w:val="20"/>
                <w:lang w:val="en-US"/>
              </w:rPr>
              <w:t>obturation</w:t>
            </w:r>
            <w:proofErr w:type="spellEnd"/>
            <w:r w:rsidRPr="00542F1C">
              <w:rPr>
                <w:sz w:val="20"/>
                <w:szCs w:val="20"/>
                <w:lang w:val="en-US"/>
              </w:rPr>
              <w:t xml:space="preserve"> of the root canal system.</w:t>
            </w:r>
          </w:p>
        </w:tc>
        <w:tc>
          <w:tcPr>
            <w:tcW w:w="3284" w:type="dxa"/>
          </w:tcPr>
          <w:p w:rsidR="00CB2082" w:rsidRPr="00542F1C" w:rsidRDefault="00670E45" w:rsidP="00A60DA3">
            <w:pPr>
              <w:rPr>
                <w:sz w:val="20"/>
                <w:szCs w:val="20"/>
              </w:rPr>
            </w:pPr>
            <w:r w:rsidRPr="00542F1C">
              <w:rPr>
                <w:sz w:val="20"/>
                <w:szCs w:val="20"/>
              </w:rPr>
              <w:t xml:space="preserve">Здесь можно увидеть вид со стороны жевательной поверхности, демонстрирующие полость для доступа </w:t>
            </w:r>
            <w:r w:rsidRPr="00542F1C">
              <w:rPr>
                <w:sz w:val="20"/>
                <w:szCs w:val="20"/>
                <w:lang w:val="en-US"/>
              </w:rPr>
              <w:t>I</w:t>
            </w:r>
            <w:r w:rsidRPr="00542F1C">
              <w:rPr>
                <w:sz w:val="20"/>
                <w:szCs w:val="20"/>
              </w:rPr>
              <w:t xml:space="preserve"> класса, после </w:t>
            </w:r>
            <w:proofErr w:type="spellStart"/>
            <w:r w:rsidRPr="00542F1C">
              <w:rPr>
                <w:sz w:val="20"/>
                <w:szCs w:val="20"/>
              </w:rPr>
              <w:t>обтурации</w:t>
            </w:r>
            <w:proofErr w:type="spellEnd"/>
            <w:r w:rsidRPr="00542F1C">
              <w:rPr>
                <w:sz w:val="20"/>
                <w:szCs w:val="20"/>
              </w:rPr>
              <w:t xml:space="preserve"> системы корневого канала.</w:t>
            </w:r>
          </w:p>
        </w:tc>
        <w:tc>
          <w:tcPr>
            <w:tcW w:w="2464" w:type="dxa"/>
          </w:tcPr>
          <w:p w:rsidR="00CB2082" w:rsidRPr="00542F1C" w:rsidRDefault="00CB2082" w:rsidP="00A60DA3">
            <w:pPr>
              <w:rPr>
                <w:sz w:val="20"/>
                <w:szCs w:val="20"/>
              </w:rPr>
            </w:pPr>
          </w:p>
        </w:tc>
      </w:tr>
      <w:tr w:rsidR="00CB2082" w:rsidRPr="00542F1C" w:rsidTr="00CB2082">
        <w:tc>
          <w:tcPr>
            <w:tcW w:w="3597" w:type="dxa"/>
          </w:tcPr>
          <w:p w:rsidR="00CB2082" w:rsidRPr="00542F1C" w:rsidRDefault="00670E45" w:rsidP="00A60DA3">
            <w:pPr>
              <w:rPr>
                <w:sz w:val="20"/>
                <w:szCs w:val="20"/>
                <w:lang w:val="en-US"/>
              </w:rPr>
            </w:pPr>
            <w:r w:rsidRPr="00542F1C">
              <w:rPr>
                <w:sz w:val="20"/>
                <w:szCs w:val="20"/>
                <w:lang w:val="en-US"/>
              </w:rPr>
              <w:t xml:space="preserve">The remaining occlusal fissures were cleaned out using a small </w:t>
            </w:r>
            <w:proofErr w:type="spellStart"/>
            <w:r w:rsidRPr="00542F1C">
              <w:rPr>
                <w:sz w:val="20"/>
                <w:szCs w:val="20"/>
                <w:lang w:val="en-US"/>
              </w:rPr>
              <w:t>fissurotomy</w:t>
            </w:r>
            <w:proofErr w:type="spellEnd"/>
            <w:r w:rsidRPr="00542F1C">
              <w:rPr>
                <w:sz w:val="20"/>
                <w:szCs w:val="20"/>
                <w:lang w:val="en-US"/>
              </w:rPr>
              <w:t xml:space="preserve"> bur and the entire access cavity was debrided by means of air polishing with bicarbonate soda, delivered by the aqua abrasion unit to ensure removal of any root canal cement remnants and also to expose a fresh dentin surface receptive for bonding.</w:t>
            </w:r>
          </w:p>
        </w:tc>
        <w:tc>
          <w:tcPr>
            <w:tcW w:w="3284" w:type="dxa"/>
          </w:tcPr>
          <w:p w:rsidR="00CB2082" w:rsidRPr="00542F1C" w:rsidRDefault="00670E45" w:rsidP="00A60DA3">
            <w:pPr>
              <w:rPr>
                <w:sz w:val="20"/>
                <w:szCs w:val="20"/>
              </w:rPr>
            </w:pPr>
            <w:r w:rsidRPr="00542F1C">
              <w:rPr>
                <w:sz w:val="20"/>
                <w:szCs w:val="20"/>
              </w:rPr>
              <w:t xml:space="preserve">Остальные </w:t>
            </w:r>
            <w:proofErr w:type="spellStart"/>
            <w:r w:rsidRPr="00542F1C">
              <w:rPr>
                <w:sz w:val="20"/>
                <w:szCs w:val="20"/>
              </w:rPr>
              <w:t>окклюзионные</w:t>
            </w:r>
            <w:proofErr w:type="spellEnd"/>
            <w:r w:rsidRPr="00542F1C">
              <w:rPr>
                <w:sz w:val="20"/>
                <w:szCs w:val="20"/>
              </w:rPr>
              <w:t xml:space="preserve"> </w:t>
            </w:r>
            <w:proofErr w:type="spellStart"/>
            <w:r w:rsidRPr="00542F1C">
              <w:rPr>
                <w:sz w:val="20"/>
                <w:szCs w:val="20"/>
              </w:rPr>
              <w:t>фиссуры</w:t>
            </w:r>
            <w:proofErr w:type="spellEnd"/>
            <w:r w:rsidRPr="00542F1C">
              <w:rPr>
                <w:sz w:val="20"/>
                <w:szCs w:val="20"/>
              </w:rPr>
              <w:t xml:space="preserve"> были обработаны с помощью небольшого </w:t>
            </w:r>
            <w:proofErr w:type="spellStart"/>
            <w:r w:rsidRPr="00542F1C">
              <w:rPr>
                <w:sz w:val="20"/>
                <w:szCs w:val="20"/>
              </w:rPr>
              <w:t>фиссурного</w:t>
            </w:r>
            <w:proofErr w:type="spellEnd"/>
            <w:r w:rsidRPr="00542F1C">
              <w:rPr>
                <w:sz w:val="20"/>
                <w:szCs w:val="20"/>
              </w:rPr>
              <w:t xml:space="preserve"> бора, и проведена санация всей полости для доступа методом водно-воздушно-струйной обработки бикарбонатом натрия, для удаления любых остатков материала для пломбирования корневых каналов и обнажения свежей поверхности дентина, пригодной для нанесения </w:t>
            </w:r>
            <w:proofErr w:type="spellStart"/>
            <w:r w:rsidRPr="00542F1C">
              <w:rPr>
                <w:sz w:val="20"/>
                <w:szCs w:val="20"/>
              </w:rPr>
              <w:t>адгезива</w:t>
            </w:r>
            <w:proofErr w:type="spellEnd"/>
            <w:r w:rsidRPr="00542F1C">
              <w:rPr>
                <w:sz w:val="20"/>
                <w:szCs w:val="20"/>
              </w:rPr>
              <w:t>.</w:t>
            </w:r>
          </w:p>
        </w:tc>
        <w:tc>
          <w:tcPr>
            <w:tcW w:w="2464" w:type="dxa"/>
          </w:tcPr>
          <w:p w:rsidR="00CB2082" w:rsidRPr="00542F1C" w:rsidRDefault="00CB2082" w:rsidP="00A60DA3">
            <w:pPr>
              <w:rPr>
                <w:sz w:val="20"/>
                <w:szCs w:val="20"/>
              </w:rPr>
            </w:pPr>
          </w:p>
        </w:tc>
      </w:tr>
      <w:tr w:rsidR="00AE4DDC" w:rsidRPr="00542F1C" w:rsidTr="00CB2082">
        <w:tc>
          <w:tcPr>
            <w:tcW w:w="3597" w:type="dxa"/>
          </w:tcPr>
          <w:p w:rsidR="00AE4DDC" w:rsidRPr="00542F1C" w:rsidRDefault="00AE4DDC" w:rsidP="00A60DA3">
            <w:pPr>
              <w:rPr>
                <w:sz w:val="20"/>
                <w:szCs w:val="20"/>
              </w:rPr>
            </w:pPr>
          </w:p>
        </w:tc>
        <w:tc>
          <w:tcPr>
            <w:tcW w:w="3284" w:type="dxa"/>
          </w:tcPr>
          <w:p w:rsidR="00AE4DDC" w:rsidRPr="00542F1C" w:rsidRDefault="00AE4DDC" w:rsidP="00A60DA3">
            <w:pPr>
              <w:rPr>
                <w:sz w:val="20"/>
                <w:szCs w:val="20"/>
              </w:rPr>
            </w:pPr>
          </w:p>
        </w:tc>
        <w:tc>
          <w:tcPr>
            <w:tcW w:w="2464" w:type="dxa"/>
          </w:tcPr>
          <w:p w:rsidR="00AE4DDC" w:rsidRPr="00542F1C" w:rsidRDefault="00AE4DDC" w:rsidP="00A60DA3">
            <w:pPr>
              <w:rPr>
                <w:sz w:val="20"/>
                <w:szCs w:val="20"/>
              </w:rPr>
            </w:pPr>
          </w:p>
        </w:tc>
      </w:tr>
      <w:tr w:rsidR="00CB2082" w:rsidRPr="00542F1C" w:rsidTr="00CB2082">
        <w:tc>
          <w:tcPr>
            <w:tcW w:w="3597" w:type="dxa"/>
          </w:tcPr>
          <w:p w:rsidR="00CB2082" w:rsidRPr="00542F1C" w:rsidRDefault="00AE4DDC" w:rsidP="00A60DA3">
            <w:pPr>
              <w:rPr>
                <w:sz w:val="20"/>
                <w:szCs w:val="20"/>
                <w:lang w:val="en-US"/>
              </w:rPr>
            </w:pPr>
            <w:r w:rsidRPr="00542F1C">
              <w:rPr>
                <w:sz w:val="20"/>
                <w:szCs w:val="20"/>
                <w:lang w:val="en-US"/>
              </w:rPr>
              <w:t>A contaminated dentin surface will result in poor dentin bond strengths, resulting in possible coronal leakage when the cavity is restored with a composite resin material.</w:t>
            </w:r>
          </w:p>
        </w:tc>
        <w:tc>
          <w:tcPr>
            <w:tcW w:w="3284" w:type="dxa"/>
          </w:tcPr>
          <w:p w:rsidR="00CB2082" w:rsidRPr="00542F1C" w:rsidRDefault="00AE4DDC" w:rsidP="00AE4DDC">
            <w:pPr>
              <w:rPr>
                <w:sz w:val="20"/>
                <w:szCs w:val="20"/>
              </w:rPr>
            </w:pPr>
            <w:r w:rsidRPr="00542F1C">
              <w:rPr>
                <w:sz w:val="20"/>
                <w:szCs w:val="20"/>
              </w:rPr>
              <w:t xml:space="preserve">Контаминированная поверхность дентина приводит к нарушению прочности адгезии композитного пломбировочного материала, что может привести к </w:t>
            </w:r>
            <w:proofErr w:type="spellStart"/>
            <w:r w:rsidRPr="00542F1C">
              <w:rPr>
                <w:sz w:val="20"/>
                <w:szCs w:val="20"/>
              </w:rPr>
              <w:t>коронковому</w:t>
            </w:r>
            <w:proofErr w:type="spellEnd"/>
            <w:r w:rsidRPr="00542F1C">
              <w:rPr>
                <w:sz w:val="20"/>
                <w:szCs w:val="20"/>
              </w:rPr>
              <w:t xml:space="preserve"> </w:t>
            </w:r>
            <w:proofErr w:type="spellStart"/>
            <w:r w:rsidRPr="00542F1C">
              <w:rPr>
                <w:sz w:val="20"/>
                <w:szCs w:val="20"/>
              </w:rPr>
              <w:t>подтеканию</w:t>
            </w:r>
            <w:proofErr w:type="spellEnd"/>
            <w:r w:rsidRPr="00542F1C">
              <w:rPr>
                <w:sz w:val="20"/>
                <w:szCs w:val="20"/>
              </w:rPr>
              <w:t>.</w:t>
            </w:r>
          </w:p>
        </w:tc>
        <w:tc>
          <w:tcPr>
            <w:tcW w:w="2464" w:type="dxa"/>
          </w:tcPr>
          <w:p w:rsidR="00CB2082" w:rsidRPr="00542F1C" w:rsidRDefault="00CB2082" w:rsidP="00A60DA3">
            <w:pPr>
              <w:rPr>
                <w:sz w:val="20"/>
                <w:szCs w:val="20"/>
              </w:rPr>
            </w:pPr>
          </w:p>
        </w:tc>
      </w:tr>
      <w:tr w:rsidR="00CB2082" w:rsidRPr="00542F1C" w:rsidTr="00CB2082">
        <w:tc>
          <w:tcPr>
            <w:tcW w:w="3597" w:type="dxa"/>
          </w:tcPr>
          <w:p w:rsidR="00CB2082" w:rsidRPr="00542F1C" w:rsidRDefault="00AE4DDC" w:rsidP="00A60DA3">
            <w:pPr>
              <w:rPr>
                <w:sz w:val="20"/>
                <w:szCs w:val="20"/>
                <w:lang w:val="en-US"/>
              </w:rPr>
            </w:pPr>
            <w:r w:rsidRPr="00542F1C">
              <w:rPr>
                <w:sz w:val="20"/>
                <w:szCs w:val="20"/>
                <w:lang w:val="en-US"/>
              </w:rPr>
              <w:t xml:space="preserve">In a study by Van </w:t>
            </w:r>
            <w:proofErr w:type="spellStart"/>
            <w:r w:rsidRPr="00542F1C">
              <w:rPr>
                <w:sz w:val="20"/>
                <w:szCs w:val="20"/>
                <w:lang w:val="en-US"/>
              </w:rPr>
              <w:t>Ende</w:t>
            </w:r>
            <w:proofErr w:type="spellEnd"/>
            <w:r w:rsidRPr="00542F1C">
              <w:rPr>
                <w:sz w:val="20"/>
                <w:szCs w:val="20"/>
                <w:lang w:val="en-US"/>
              </w:rPr>
              <w:t>, et al, 2013, they demonstrated that the micro-tensile bond strength decreased significantly when Class I cavities were filled in 4 mm bulk increments.</w:t>
            </w:r>
          </w:p>
        </w:tc>
        <w:tc>
          <w:tcPr>
            <w:tcW w:w="3284" w:type="dxa"/>
          </w:tcPr>
          <w:p w:rsidR="00CB2082" w:rsidRPr="00542F1C" w:rsidRDefault="00AE4DDC" w:rsidP="00A60DA3">
            <w:pPr>
              <w:rPr>
                <w:sz w:val="20"/>
                <w:szCs w:val="20"/>
              </w:rPr>
            </w:pPr>
            <w:r w:rsidRPr="00542F1C">
              <w:rPr>
                <w:sz w:val="20"/>
                <w:szCs w:val="20"/>
              </w:rPr>
              <w:t xml:space="preserve">В исследовании </w:t>
            </w:r>
            <w:r w:rsidRPr="00542F1C">
              <w:rPr>
                <w:sz w:val="20"/>
                <w:szCs w:val="20"/>
                <w:lang w:val="en-US"/>
              </w:rPr>
              <w:t>Van</w:t>
            </w:r>
            <w:r w:rsidRPr="00542F1C">
              <w:rPr>
                <w:sz w:val="20"/>
                <w:szCs w:val="20"/>
              </w:rPr>
              <w:t xml:space="preserve"> </w:t>
            </w:r>
            <w:proofErr w:type="spellStart"/>
            <w:r w:rsidRPr="00542F1C">
              <w:rPr>
                <w:sz w:val="20"/>
                <w:szCs w:val="20"/>
                <w:lang w:val="en-US"/>
              </w:rPr>
              <w:t>Ende</w:t>
            </w:r>
            <w:proofErr w:type="spellEnd"/>
            <w:r w:rsidRPr="00542F1C">
              <w:rPr>
                <w:sz w:val="20"/>
                <w:szCs w:val="20"/>
              </w:rPr>
              <w:t xml:space="preserve">r </w:t>
            </w:r>
            <w:r w:rsidRPr="00542F1C">
              <w:rPr>
                <w:sz w:val="20"/>
                <w:szCs w:val="20"/>
                <w:lang w:val="en-US"/>
              </w:rPr>
              <w:t>et</w:t>
            </w:r>
            <w:r w:rsidRPr="00542F1C">
              <w:rPr>
                <w:sz w:val="20"/>
                <w:szCs w:val="20"/>
              </w:rPr>
              <w:t xml:space="preserve"> </w:t>
            </w:r>
            <w:r w:rsidRPr="00542F1C">
              <w:rPr>
                <w:sz w:val="20"/>
                <w:szCs w:val="20"/>
                <w:lang w:val="en-US"/>
              </w:rPr>
              <w:t>al</w:t>
            </w:r>
            <w:r w:rsidRPr="00542F1C">
              <w:rPr>
                <w:sz w:val="20"/>
                <w:szCs w:val="20"/>
              </w:rPr>
              <w:t xml:space="preserve">. (2013), авторы продемонстрировали, что прочность сцепления при </w:t>
            </w:r>
            <w:proofErr w:type="spellStart"/>
            <w:r w:rsidRPr="00542F1C">
              <w:rPr>
                <w:sz w:val="20"/>
                <w:szCs w:val="20"/>
              </w:rPr>
              <w:t>микрорастяжении</w:t>
            </w:r>
            <w:proofErr w:type="spellEnd"/>
            <w:r w:rsidRPr="00542F1C">
              <w:rPr>
                <w:sz w:val="20"/>
                <w:szCs w:val="20"/>
              </w:rPr>
              <w:t xml:space="preserve"> достоверно снижалась при заполнении полостей </w:t>
            </w:r>
            <w:r w:rsidRPr="00542F1C">
              <w:rPr>
                <w:sz w:val="20"/>
                <w:szCs w:val="20"/>
                <w:lang w:val="en-US"/>
              </w:rPr>
              <w:t>I</w:t>
            </w:r>
            <w:r w:rsidRPr="00542F1C">
              <w:rPr>
                <w:sz w:val="20"/>
                <w:szCs w:val="20"/>
              </w:rPr>
              <w:t xml:space="preserve"> класса слоями до 4</w:t>
            </w:r>
            <w:r w:rsidRPr="00542F1C">
              <w:rPr>
                <w:sz w:val="20"/>
                <w:szCs w:val="20"/>
                <w:lang w:val="en-US"/>
              </w:rPr>
              <w:t> </w:t>
            </w:r>
            <w:r w:rsidRPr="00542F1C">
              <w:rPr>
                <w:sz w:val="20"/>
                <w:szCs w:val="20"/>
              </w:rPr>
              <w:t>мм.</w:t>
            </w:r>
          </w:p>
        </w:tc>
        <w:tc>
          <w:tcPr>
            <w:tcW w:w="2464" w:type="dxa"/>
          </w:tcPr>
          <w:p w:rsidR="00CB2082" w:rsidRPr="00542F1C" w:rsidRDefault="00CB2082" w:rsidP="00A60DA3">
            <w:pPr>
              <w:rPr>
                <w:sz w:val="20"/>
                <w:szCs w:val="20"/>
              </w:rPr>
            </w:pPr>
          </w:p>
        </w:tc>
      </w:tr>
      <w:tr w:rsidR="00CB2082" w:rsidRPr="00542F1C" w:rsidTr="00CB2082">
        <w:tc>
          <w:tcPr>
            <w:tcW w:w="3597" w:type="dxa"/>
          </w:tcPr>
          <w:p w:rsidR="00CB2082" w:rsidRPr="00542F1C" w:rsidRDefault="00AE4DDC" w:rsidP="00A60DA3">
            <w:pPr>
              <w:rPr>
                <w:sz w:val="20"/>
                <w:szCs w:val="20"/>
                <w:lang w:val="en-US"/>
              </w:rPr>
            </w:pPr>
            <w:r w:rsidRPr="00542F1C">
              <w:rPr>
                <w:sz w:val="20"/>
                <w:szCs w:val="20"/>
                <w:lang w:val="en-US"/>
              </w:rPr>
              <w:t xml:space="preserve">Conventional </w:t>
            </w:r>
            <w:proofErr w:type="spellStart"/>
            <w:r w:rsidRPr="00542F1C">
              <w:rPr>
                <w:sz w:val="20"/>
                <w:szCs w:val="20"/>
                <w:lang w:val="en-US"/>
              </w:rPr>
              <w:t>flowable</w:t>
            </w:r>
            <w:proofErr w:type="spellEnd"/>
            <w:r w:rsidRPr="00542F1C">
              <w:rPr>
                <w:sz w:val="20"/>
                <w:szCs w:val="20"/>
                <w:lang w:val="en-US"/>
              </w:rPr>
              <w:t xml:space="preserve"> and regular viscosity composite placed in 4 mm increments in access cavity resulted in a very high percentage of pre-test failures.</w:t>
            </w:r>
          </w:p>
        </w:tc>
        <w:tc>
          <w:tcPr>
            <w:tcW w:w="3284" w:type="dxa"/>
          </w:tcPr>
          <w:p w:rsidR="00CB2082" w:rsidRPr="00542F1C" w:rsidRDefault="00AE4DDC" w:rsidP="00A60DA3">
            <w:pPr>
              <w:rPr>
                <w:sz w:val="20"/>
                <w:szCs w:val="20"/>
              </w:rPr>
            </w:pPr>
            <w:r w:rsidRPr="00542F1C">
              <w:rPr>
                <w:sz w:val="20"/>
                <w:szCs w:val="20"/>
              </w:rPr>
              <w:t>Традиционные текучие композитные материалы, а также материалы обычной вязкости, вносимые порциями по 4</w:t>
            </w:r>
            <w:r w:rsidRPr="00542F1C">
              <w:rPr>
                <w:sz w:val="20"/>
                <w:szCs w:val="20"/>
                <w:lang w:val="en-US"/>
              </w:rPr>
              <w:t> </w:t>
            </w:r>
            <w:r w:rsidRPr="00542F1C">
              <w:rPr>
                <w:sz w:val="20"/>
                <w:szCs w:val="20"/>
              </w:rPr>
              <w:t>мм в полость для доступа, характеризовались очень высокой долей несостоятельности до испытаний.</w:t>
            </w:r>
          </w:p>
        </w:tc>
        <w:tc>
          <w:tcPr>
            <w:tcW w:w="2464" w:type="dxa"/>
          </w:tcPr>
          <w:p w:rsidR="00CB2082" w:rsidRPr="00542F1C" w:rsidRDefault="00CB2082" w:rsidP="00A60DA3">
            <w:pPr>
              <w:rPr>
                <w:sz w:val="20"/>
                <w:szCs w:val="20"/>
              </w:rPr>
            </w:pPr>
          </w:p>
        </w:tc>
      </w:tr>
    </w:tbl>
    <w:p w:rsidR="00A73E30" w:rsidRDefault="00A73E30"/>
    <w:sectPr w:rsidR="00A73E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E30"/>
    <w:rsid w:val="00433A7E"/>
    <w:rsid w:val="00542F1C"/>
    <w:rsid w:val="00670E45"/>
    <w:rsid w:val="00681E8D"/>
    <w:rsid w:val="006E14D6"/>
    <w:rsid w:val="00A73E30"/>
    <w:rsid w:val="00AE4DDC"/>
    <w:rsid w:val="00CB2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082"/>
    <w:pPr>
      <w:spacing w:after="200" w:line="276" w:lineRule="auto"/>
    </w:pPr>
    <w:rPr>
      <w:rFonts w:eastAsia="Batang"/>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2082"/>
    <w:pPr>
      <w:spacing w:after="0" w:line="240" w:lineRule="auto"/>
    </w:pPr>
    <w:rPr>
      <w:rFonts w:eastAsia="Batang"/>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3A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3A7E"/>
    <w:rPr>
      <w:rFonts w:ascii="Tahoma" w:eastAsia="Batang" w:hAnsi="Tahoma" w:cs="Tahoma"/>
      <w:sz w:val="16"/>
      <w:szCs w:val="1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082"/>
    <w:pPr>
      <w:spacing w:after="200" w:line="276" w:lineRule="auto"/>
    </w:pPr>
    <w:rPr>
      <w:rFonts w:eastAsia="Batang"/>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2082"/>
    <w:pPr>
      <w:spacing w:after="0" w:line="240" w:lineRule="auto"/>
    </w:pPr>
    <w:rPr>
      <w:rFonts w:eastAsia="Batang"/>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3A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3A7E"/>
    <w:rPr>
      <w:rFonts w:ascii="Tahoma" w:eastAsia="Batang"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51085">
      <w:bodyDiv w:val="1"/>
      <w:marLeft w:val="0"/>
      <w:marRight w:val="0"/>
      <w:marTop w:val="0"/>
      <w:marBottom w:val="0"/>
      <w:divBdr>
        <w:top w:val="none" w:sz="0" w:space="0" w:color="auto"/>
        <w:left w:val="none" w:sz="0" w:space="0" w:color="auto"/>
        <w:bottom w:val="none" w:sz="0" w:space="0" w:color="auto"/>
        <w:right w:val="none" w:sz="0" w:space="0" w:color="auto"/>
      </w:divBdr>
    </w:div>
    <w:div w:id="46230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939</Words>
  <Characters>5355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Kovalenko Anastasiya</dc:creator>
  <cp:keywords/>
  <dc:description/>
  <cp:lastModifiedBy>NewVendor</cp:lastModifiedBy>
  <cp:revision>3</cp:revision>
  <dcterms:created xsi:type="dcterms:W3CDTF">2021-07-07T09:39:00Z</dcterms:created>
  <dcterms:modified xsi:type="dcterms:W3CDTF">2021-07-07T12:25:00Z</dcterms:modified>
</cp:coreProperties>
</file>