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D99" w:rsidRPr="005B0FB1" w:rsidRDefault="009C0D99" w:rsidP="009C0D99">
      <w:pPr>
        <w:rPr>
          <w:rFonts w:ascii="Arial" w:hAnsi="Arial" w:cs="Arial"/>
          <w:b/>
          <w:sz w:val="20"/>
          <w:szCs w:val="20"/>
        </w:rPr>
      </w:pPr>
      <w:r w:rsidRPr="005B0FB1">
        <w:rPr>
          <w:rFonts w:ascii="Arial" w:hAnsi="Arial" w:cs="Arial"/>
          <w:b/>
          <w:sz w:val="20"/>
          <w:szCs w:val="20"/>
        </w:rPr>
        <w:t xml:space="preserve">Фамилия переводчика </w:t>
      </w:r>
      <w:r w:rsidRPr="005B0FB1">
        <w:rPr>
          <w:rFonts w:ascii="Arial" w:hAnsi="Arial" w:cs="Arial"/>
          <w:b/>
          <w:sz w:val="20"/>
          <w:szCs w:val="20"/>
          <w:u w:val="single"/>
        </w:rPr>
        <w:t>_______________________________</w:t>
      </w:r>
    </w:p>
    <w:p w:rsidR="009C0D99" w:rsidRPr="009C0D99" w:rsidRDefault="009C0D99" w:rsidP="009C0D99">
      <w:pPr>
        <w:rPr>
          <w:rFonts w:ascii="Arial" w:hAnsi="Arial" w:cs="Arial"/>
          <w:b/>
          <w:i/>
          <w:sz w:val="20"/>
          <w:szCs w:val="20"/>
        </w:rPr>
      </w:pPr>
      <w:r>
        <w:rPr>
          <w:rFonts w:ascii="Arial" w:hAnsi="Arial" w:cs="Arial"/>
          <w:b/>
          <w:sz w:val="20"/>
          <w:szCs w:val="20"/>
        </w:rPr>
        <w:t>Направление перевода</w:t>
      </w:r>
      <w:r w:rsidRPr="005B0FB1">
        <w:rPr>
          <w:rFonts w:ascii="Arial" w:hAnsi="Arial" w:cs="Arial"/>
          <w:b/>
          <w:sz w:val="20"/>
          <w:szCs w:val="20"/>
        </w:rPr>
        <w:t xml:space="preserve">: </w:t>
      </w:r>
      <w:r w:rsidRPr="005B0FB1">
        <w:rPr>
          <w:rFonts w:ascii="Arial" w:hAnsi="Arial" w:cs="Arial"/>
          <w:i/>
          <w:sz w:val="20"/>
          <w:szCs w:val="20"/>
        </w:rPr>
        <w:t>английски</w:t>
      </w:r>
      <w:proofErr w:type="gramStart"/>
      <w:r w:rsidRPr="005B0FB1">
        <w:rPr>
          <w:rFonts w:ascii="Arial" w:hAnsi="Arial" w:cs="Arial"/>
          <w:i/>
          <w:sz w:val="20"/>
          <w:szCs w:val="20"/>
        </w:rPr>
        <w:t>й</w:t>
      </w:r>
      <w:r>
        <w:rPr>
          <w:rFonts w:ascii="Arial" w:hAnsi="Arial" w:cs="Arial"/>
          <w:i/>
          <w:sz w:val="20"/>
          <w:szCs w:val="20"/>
        </w:rPr>
        <w:t>-</w:t>
      </w:r>
      <w:proofErr w:type="gramEnd"/>
      <w:r w:rsidRPr="009C0D99">
        <w:rPr>
          <w:rFonts w:ascii="Arial" w:hAnsi="Arial" w:cs="Arial"/>
          <w:i/>
          <w:sz w:val="20"/>
          <w:szCs w:val="20"/>
        </w:rPr>
        <w:t>&gt;</w:t>
      </w:r>
      <w:r>
        <w:rPr>
          <w:rFonts w:ascii="Arial" w:hAnsi="Arial" w:cs="Arial"/>
          <w:i/>
          <w:sz w:val="20"/>
          <w:szCs w:val="20"/>
        </w:rPr>
        <w:t>русский</w:t>
      </w:r>
    </w:p>
    <w:p w:rsidR="009C0D99" w:rsidRPr="005B0FB1" w:rsidRDefault="009C0D99" w:rsidP="009C0D99">
      <w:pPr>
        <w:rPr>
          <w:rStyle w:val="a4"/>
          <w:rFonts w:ascii="Arial" w:hAnsi="Arial" w:cs="Arial"/>
          <w:bCs/>
          <w:i/>
          <w:sz w:val="20"/>
          <w:szCs w:val="20"/>
        </w:rPr>
      </w:pPr>
      <w:r w:rsidRPr="005B0FB1">
        <w:rPr>
          <w:rFonts w:ascii="Arial" w:hAnsi="Arial" w:cs="Arial"/>
          <w:b/>
          <w:sz w:val="20"/>
          <w:szCs w:val="20"/>
        </w:rPr>
        <w:t>Предметная область:</w:t>
      </w:r>
      <w:r w:rsidRPr="005B0FB1">
        <w:rPr>
          <w:rStyle w:val="a4"/>
          <w:rFonts w:ascii="Arial" w:hAnsi="Arial" w:cs="Arial"/>
          <w:bCs/>
          <w:i/>
          <w:sz w:val="20"/>
          <w:szCs w:val="20"/>
        </w:rPr>
        <w:t xml:space="preserve"> </w:t>
      </w:r>
      <w:r>
        <w:rPr>
          <w:rFonts w:ascii="Arial" w:hAnsi="Arial" w:cs="Arial"/>
          <w:i/>
          <w:sz w:val="20"/>
          <w:szCs w:val="20"/>
        </w:rPr>
        <w:t>Маркетинг</w:t>
      </w:r>
      <w:bookmarkStart w:id="0" w:name="_GoBack"/>
      <w:bookmarkEnd w:id="0"/>
    </w:p>
    <w:p w:rsidR="009C0D99" w:rsidRPr="005B0FB1" w:rsidRDefault="009C0D99" w:rsidP="009C0D99">
      <w:pPr>
        <w:rPr>
          <w:rFonts w:ascii="Arial" w:hAnsi="Arial" w:cs="Arial"/>
          <w:sz w:val="20"/>
          <w:szCs w:val="20"/>
        </w:rPr>
      </w:pPr>
      <w:r w:rsidRPr="005B0FB1">
        <w:rPr>
          <w:rFonts w:ascii="Arial" w:hAnsi="Arial" w:cs="Arial"/>
          <w:b/>
          <w:i/>
          <w:sz w:val="20"/>
          <w:szCs w:val="20"/>
        </w:rPr>
        <w:t>Примечание 1:</w:t>
      </w:r>
      <w:r w:rsidRPr="005B0FB1">
        <w:rPr>
          <w:rFonts w:ascii="Arial" w:hAnsi="Arial" w:cs="Arial"/>
          <w:i/>
          <w:sz w:val="20"/>
          <w:szCs w:val="20"/>
        </w:rPr>
        <w:t xml:space="preserve"> Необходимо сделать перевод приведенного ниже фрагмента текста</w:t>
      </w:r>
    </w:p>
    <w:p w:rsidR="009C0D99" w:rsidRPr="005B0FB1" w:rsidRDefault="009C0D99" w:rsidP="009C0D99">
      <w:pPr>
        <w:rPr>
          <w:rFonts w:ascii="Arial" w:hAnsi="Arial" w:cs="Arial"/>
          <w:snapToGrid w:val="0"/>
          <w:sz w:val="20"/>
          <w:szCs w:val="20"/>
        </w:rPr>
      </w:pPr>
      <w:r w:rsidRPr="005B0FB1">
        <w:rPr>
          <w:rFonts w:ascii="Arial" w:hAnsi="Arial" w:cs="Arial"/>
          <w:b/>
          <w:i/>
          <w:sz w:val="20"/>
          <w:szCs w:val="20"/>
        </w:rPr>
        <w:t>Примечание 2:</w:t>
      </w:r>
      <w:r w:rsidRPr="005B0FB1">
        <w:rPr>
          <w:rFonts w:ascii="Arial" w:hAnsi="Arial" w:cs="Arial"/>
          <w:i/>
          <w:sz w:val="20"/>
          <w:szCs w:val="20"/>
        </w:rPr>
        <w:t xml:space="preserve"> Перевод текста размещается </w:t>
      </w:r>
      <w:r w:rsidRPr="005B0FB1">
        <w:rPr>
          <w:rFonts w:ascii="Arial" w:hAnsi="Arial" w:cs="Arial"/>
          <w:i/>
          <w:snapToGrid w:val="0"/>
          <w:sz w:val="20"/>
          <w:szCs w:val="20"/>
        </w:rPr>
        <w:t>в соответствующий столбец</w:t>
      </w:r>
      <w:r w:rsidRPr="005B0FB1">
        <w:rPr>
          <w:rFonts w:ascii="Arial" w:hAnsi="Arial" w:cs="Arial"/>
          <w:snapToGrid w:val="0"/>
          <w:sz w:val="20"/>
          <w:szCs w:val="20"/>
        </w:rPr>
        <w:t>.</w:t>
      </w:r>
    </w:p>
    <w:p w:rsidR="009C0D99" w:rsidRDefault="009C0D99"/>
    <w:tbl>
      <w:tblPr>
        <w:tblStyle w:val="a3"/>
        <w:tblW w:w="0" w:type="auto"/>
        <w:tblLook w:val="04A0" w:firstRow="1" w:lastRow="0" w:firstColumn="1" w:lastColumn="0" w:noHBand="0" w:noVBand="1"/>
      </w:tblPr>
      <w:tblGrid>
        <w:gridCol w:w="4785"/>
        <w:gridCol w:w="4786"/>
      </w:tblGrid>
      <w:tr w:rsidR="00CE6B33" w:rsidTr="00CE6B33">
        <w:tc>
          <w:tcPr>
            <w:tcW w:w="4785" w:type="dxa"/>
          </w:tcPr>
          <w:p w:rsidR="00CE6B33" w:rsidRPr="00CE6B33" w:rsidRDefault="00CE6B33" w:rsidP="006B5547">
            <w:pPr>
              <w:jc w:val="both"/>
              <w:rPr>
                <w:b/>
                <w:lang w:val="en-US"/>
              </w:rPr>
            </w:pPr>
            <w:proofErr w:type="spellStart"/>
            <w:r w:rsidRPr="00CE6B33">
              <w:rPr>
                <w:b/>
                <w:lang w:val="en-US"/>
              </w:rPr>
              <w:t>En</w:t>
            </w:r>
            <w:proofErr w:type="spellEnd"/>
          </w:p>
        </w:tc>
        <w:tc>
          <w:tcPr>
            <w:tcW w:w="4786" w:type="dxa"/>
          </w:tcPr>
          <w:p w:rsidR="00CE6B33" w:rsidRPr="00CE6B33" w:rsidRDefault="00CE6B33">
            <w:pPr>
              <w:rPr>
                <w:b/>
                <w:lang w:val="en-US"/>
              </w:rPr>
            </w:pPr>
            <w:r w:rsidRPr="00CE6B33">
              <w:rPr>
                <w:b/>
                <w:lang w:val="en-US"/>
              </w:rPr>
              <w:t>Ru</w:t>
            </w:r>
          </w:p>
        </w:tc>
      </w:tr>
      <w:tr w:rsidR="00CE6B33" w:rsidTr="00CE6B33">
        <w:tc>
          <w:tcPr>
            <w:tcW w:w="4785" w:type="dxa"/>
          </w:tcPr>
          <w:p w:rsidR="00CE6B33" w:rsidRPr="00CE6B33" w:rsidRDefault="00C24D56" w:rsidP="006B5547">
            <w:pPr>
              <w:jc w:val="both"/>
              <w:rPr>
                <w:lang w:val="en-US"/>
              </w:rPr>
            </w:pPr>
            <w:proofErr w:type="spellStart"/>
            <w:r w:rsidRPr="00C24D56">
              <w:rPr>
                <w:i/>
              </w:rPr>
              <w:t>Broader</w:t>
            </w:r>
            <w:proofErr w:type="spellEnd"/>
            <w:r w:rsidRPr="00C24D56">
              <w:rPr>
                <w:i/>
              </w:rPr>
              <w:t xml:space="preserve"> </w:t>
            </w:r>
            <w:proofErr w:type="spellStart"/>
            <w:r w:rsidRPr="00C24D56">
              <w:rPr>
                <w:i/>
              </w:rPr>
              <w:t>experiences</w:t>
            </w:r>
            <w:proofErr w:type="spellEnd"/>
            <w:r w:rsidRPr="00C24D56">
              <w:rPr>
                <w:i/>
              </w:rPr>
              <w:t xml:space="preserve">, </w:t>
            </w:r>
            <w:proofErr w:type="spellStart"/>
            <w:r w:rsidRPr="00C24D56">
              <w:rPr>
                <w:i/>
              </w:rPr>
              <w:t>broader</w:t>
            </w:r>
            <w:proofErr w:type="spellEnd"/>
            <w:r w:rsidRPr="00C24D56">
              <w:rPr>
                <w:i/>
              </w:rPr>
              <w:t xml:space="preserve"> </w:t>
            </w:r>
            <w:proofErr w:type="spellStart"/>
            <w:r w:rsidRPr="00C24D56">
              <w:rPr>
                <w:i/>
              </w:rPr>
              <w:t>minds</w:t>
            </w:r>
            <w:proofErr w:type="spellEnd"/>
          </w:p>
        </w:tc>
        <w:tc>
          <w:tcPr>
            <w:tcW w:w="4786" w:type="dxa"/>
          </w:tcPr>
          <w:p w:rsidR="00CE6B33" w:rsidRDefault="00CE6B33"/>
        </w:tc>
      </w:tr>
      <w:tr w:rsidR="00CE6B33" w:rsidRPr="009C0D99" w:rsidTr="00CE6B33">
        <w:tc>
          <w:tcPr>
            <w:tcW w:w="4785" w:type="dxa"/>
          </w:tcPr>
          <w:p w:rsidR="00CE6B33" w:rsidRPr="009C0D99" w:rsidRDefault="00C24D56" w:rsidP="006B5547">
            <w:pPr>
              <w:jc w:val="both"/>
              <w:rPr>
                <w:lang w:val="en-US"/>
              </w:rPr>
            </w:pPr>
            <w:r w:rsidRPr="009C0D99">
              <w:rPr>
                <w:lang w:val="en-US"/>
              </w:rPr>
              <w:t xml:space="preserve">The </w:t>
            </w:r>
            <w:proofErr w:type="spellStart"/>
            <w:r w:rsidR="00426777" w:rsidRPr="00C24D56">
              <w:rPr>
                <w:lang w:val="en-US"/>
              </w:rPr>
              <w:t>Gordonstoun</w:t>
            </w:r>
            <w:proofErr w:type="spellEnd"/>
            <w:r w:rsidR="00426777">
              <w:rPr>
                <w:lang w:val="en-US"/>
              </w:rPr>
              <w:t xml:space="preserve"> </w:t>
            </w:r>
            <w:r w:rsidRPr="009C0D99">
              <w:rPr>
                <w:lang w:val="en-US"/>
              </w:rPr>
              <w:t xml:space="preserve">school’s uniquely broad curriculum encourages every individual to fulfil their potential academically, but it does more than that. It encourages students to fulfil their potential as human beings. The school motto is ‘Plus </w:t>
            </w:r>
            <w:proofErr w:type="spellStart"/>
            <w:r w:rsidRPr="009C0D99">
              <w:rPr>
                <w:lang w:val="en-US"/>
              </w:rPr>
              <w:t>est</w:t>
            </w:r>
            <w:proofErr w:type="spellEnd"/>
            <w:r w:rsidRPr="009C0D99">
              <w:rPr>
                <w:lang w:val="en-US"/>
              </w:rPr>
              <w:t xml:space="preserve"> </w:t>
            </w:r>
            <w:proofErr w:type="spellStart"/>
            <w:r w:rsidRPr="009C0D99">
              <w:rPr>
                <w:lang w:val="en-US"/>
              </w:rPr>
              <w:t>en</w:t>
            </w:r>
            <w:proofErr w:type="spellEnd"/>
            <w:r w:rsidRPr="009C0D99">
              <w:rPr>
                <w:lang w:val="en-US"/>
              </w:rPr>
              <w:t xml:space="preserve"> </w:t>
            </w:r>
            <w:proofErr w:type="spellStart"/>
            <w:r w:rsidRPr="009C0D99">
              <w:rPr>
                <w:lang w:val="en-US"/>
              </w:rPr>
              <w:t>vous</w:t>
            </w:r>
            <w:proofErr w:type="spellEnd"/>
            <w:r w:rsidRPr="009C0D99">
              <w:rPr>
                <w:lang w:val="en-US"/>
              </w:rPr>
              <w:t xml:space="preserve">’ - There is more in you. At </w:t>
            </w:r>
            <w:proofErr w:type="spellStart"/>
            <w:r w:rsidRPr="009C0D99">
              <w:rPr>
                <w:lang w:val="en-US"/>
              </w:rPr>
              <w:t>Gordonstoun</w:t>
            </w:r>
            <w:proofErr w:type="spellEnd"/>
            <w:r w:rsidRPr="009C0D99">
              <w:rPr>
                <w:lang w:val="en-US"/>
              </w:rPr>
              <w:t>, this sense of possibility is presented to its students, every single day.</w:t>
            </w:r>
          </w:p>
        </w:tc>
        <w:tc>
          <w:tcPr>
            <w:tcW w:w="4786" w:type="dxa"/>
          </w:tcPr>
          <w:p w:rsidR="00CE6B33" w:rsidRPr="009C0D99" w:rsidRDefault="00CE6B33">
            <w:pPr>
              <w:rPr>
                <w:lang w:val="en-US"/>
              </w:rPr>
            </w:pPr>
          </w:p>
        </w:tc>
      </w:tr>
      <w:tr w:rsidR="00CE6B33" w:rsidTr="00CE6B33">
        <w:tc>
          <w:tcPr>
            <w:tcW w:w="4785" w:type="dxa"/>
          </w:tcPr>
          <w:p w:rsidR="00CE6B33" w:rsidRDefault="00C24D56" w:rsidP="006B5547">
            <w:pPr>
              <w:jc w:val="both"/>
            </w:pPr>
            <w:r w:rsidRPr="009C0D99">
              <w:rPr>
                <w:lang w:val="en-US"/>
              </w:rPr>
              <w:t xml:space="preserve">‘It wasn’t until we saw the curriculum and the schedule of what they would be doing each day that we truly understood the difference between </w:t>
            </w:r>
            <w:proofErr w:type="spellStart"/>
            <w:r w:rsidRPr="009C0D99">
              <w:rPr>
                <w:lang w:val="en-US"/>
              </w:rPr>
              <w:t>Gordonstoun</w:t>
            </w:r>
            <w:proofErr w:type="spellEnd"/>
            <w:r w:rsidRPr="009C0D99">
              <w:rPr>
                <w:lang w:val="en-US"/>
              </w:rPr>
              <w:t xml:space="preserve"> and other schools.’ </w:t>
            </w:r>
            <w:proofErr w:type="spellStart"/>
            <w:r w:rsidRPr="00C24D56">
              <w:t>Current</w:t>
            </w:r>
            <w:proofErr w:type="spellEnd"/>
            <w:r w:rsidRPr="00C24D56">
              <w:t xml:space="preserve"> </w:t>
            </w:r>
            <w:proofErr w:type="spellStart"/>
            <w:r w:rsidRPr="00C24D56">
              <w:t>parent</w:t>
            </w:r>
            <w:proofErr w:type="spellEnd"/>
            <w:r w:rsidRPr="00C24D56">
              <w:t>.</w:t>
            </w:r>
          </w:p>
        </w:tc>
        <w:tc>
          <w:tcPr>
            <w:tcW w:w="4786" w:type="dxa"/>
          </w:tcPr>
          <w:p w:rsidR="00CE6B33" w:rsidRDefault="00CE6B33"/>
        </w:tc>
      </w:tr>
      <w:tr w:rsidR="00CE6B33" w:rsidRPr="009C0D99" w:rsidTr="00CE6B33">
        <w:tc>
          <w:tcPr>
            <w:tcW w:w="4785" w:type="dxa"/>
          </w:tcPr>
          <w:p w:rsidR="00CE6B33" w:rsidRPr="009C0D99" w:rsidRDefault="00C24D56" w:rsidP="007E7856">
            <w:pPr>
              <w:jc w:val="both"/>
              <w:rPr>
                <w:lang w:val="en-US"/>
              </w:rPr>
            </w:pPr>
            <w:r w:rsidRPr="009C0D99">
              <w:rPr>
                <w:lang w:val="en-US"/>
              </w:rPr>
              <w:t xml:space="preserve">Although </w:t>
            </w:r>
            <w:proofErr w:type="spellStart"/>
            <w:r w:rsidRPr="009C0D99">
              <w:rPr>
                <w:lang w:val="en-US"/>
              </w:rPr>
              <w:t>Gordonstoun</w:t>
            </w:r>
            <w:proofErr w:type="spellEnd"/>
            <w:r w:rsidRPr="009C0D99">
              <w:rPr>
                <w:lang w:val="en-US"/>
              </w:rPr>
              <w:t xml:space="preserve"> is within striking distance of two international airports, the school’s remarkable location on a 200 acre woodland estate provides the background for its world beating outdoor education </w:t>
            </w:r>
            <w:proofErr w:type="spellStart"/>
            <w:r w:rsidRPr="009C0D99">
              <w:rPr>
                <w:lang w:val="en-US"/>
              </w:rPr>
              <w:t>programme</w:t>
            </w:r>
            <w:proofErr w:type="spellEnd"/>
            <w:r w:rsidRPr="009C0D99">
              <w:rPr>
                <w:lang w:val="en-US"/>
              </w:rPr>
              <w:t>.</w:t>
            </w:r>
          </w:p>
        </w:tc>
        <w:tc>
          <w:tcPr>
            <w:tcW w:w="4786" w:type="dxa"/>
          </w:tcPr>
          <w:p w:rsidR="00CE6B33" w:rsidRPr="009C0D99" w:rsidRDefault="00CE6B33">
            <w:pPr>
              <w:rPr>
                <w:lang w:val="en-US"/>
              </w:rPr>
            </w:pPr>
          </w:p>
        </w:tc>
      </w:tr>
      <w:tr w:rsidR="00CE6B33" w:rsidRPr="009C0D99" w:rsidTr="00CE6B33">
        <w:tc>
          <w:tcPr>
            <w:tcW w:w="4785" w:type="dxa"/>
          </w:tcPr>
          <w:p w:rsidR="00CE6B33" w:rsidRPr="009C0D99" w:rsidRDefault="00C24D56" w:rsidP="006B5547">
            <w:pPr>
              <w:jc w:val="both"/>
              <w:rPr>
                <w:lang w:val="en-US"/>
              </w:rPr>
            </w:pPr>
            <w:r w:rsidRPr="009C0D99">
              <w:rPr>
                <w:lang w:val="en-US"/>
              </w:rPr>
              <w:t xml:space="preserve">By extending the field of learning beyond the classroom, students gain invaluable experience in being both leaders and team players and in having compassion and understanding for their fellows - and of themselves. Their outlook is broadened, their ability to consider the needs of others developed, and they gain resilience - life skills which can only complement the school’s commitment to, and </w:t>
            </w:r>
            <w:proofErr w:type="spellStart"/>
            <w:r w:rsidRPr="009C0D99">
              <w:rPr>
                <w:lang w:val="en-US"/>
              </w:rPr>
              <w:t>realisation</w:t>
            </w:r>
            <w:proofErr w:type="spellEnd"/>
            <w:r w:rsidRPr="009C0D99">
              <w:rPr>
                <w:lang w:val="en-US"/>
              </w:rPr>
              <w:t xml:space="preserve"> of, academic excellence.</w:t>
            </w:r>
          </w:p>
        </w:tc>
        <w:tc>
          <w:tcPr>
            <w:tcW w:w="4786" w:type="dxa"/>
          </w:tcPr>
          <w:p w:rsidR="00CE6B33" w:rsidRPr="009C0D99" w:rsidRDefault="00CE6B33">
            <w:pPr>
              <w:rPr>
                <w:lang w:val="en-US"/>
              </w:rPr>
            </w:pPr>
          </w:p>
        </w:tc>
      </w:tr>
      <w:tr w:rsidR="00CE6B33" w:rsidRPr="009C0D99" w:rsidTr="00CE6B33">
        <w:tc>
          <w:tcPr>
            <w:tcW w:w="4785" w:type="dxa"/>
          </w:tcPr>
          <w:p w:rsidR="00CE6B33" w:rsidRPr="009C0D99" w:rsidRDefault="00C24D56" w:rsidP="006B5547">
            <w:pPr>
              <w:jc w:val="both"/>
              <w:rPr>
                <w:lang w:val="en-US"/>
              </w:rPr>
            </w:pPr>
            <w:r w:rsidRPr="009C0D99">
              <w:rPr>
                <w:lang w:val="en-US"/>
              </w:rPr>
              <w:t xml:space="preserve">Active engagement in service to the local community also comprises a core part of </w:t>
            </w:r>
            <w:proofErr w:type="spellStart"/>
            <w:r w:rsidRPr="009C0D99">
              <w:rPr>
                <w:lang w:val="en-US"/>
              </w:rPr>
              <w:t>Gordonstoun’s</w:t>
            </w:r>
            <w:proofErr w:type="spellEnd"/>
            <w:r w:rsidRPr="009C0D99">
              <w:rPr>
                <w:lang w:val="en-US"/>
              </w:rPr>
              <w:t xml:space="preserve"> ‘working week’, further expanding the students’ sense of personal and social responsibility and building self-esteem. All year groups take part in service, but from Year 11 each student commits to one of the school’s nine services. These include the Fire Service, Coastguards, Canoe Lifeguards and the Community Service - where pupils visit residential homes and support children with special needs.</w:t>
            </w:r>
          </w:p>
        </w:tc>
        <w:tc>
          <w:tcPr>
            <w:tcW w:w="4786" w:type="dxa"/>
          </w:tcPr>
          <w:p w:rsidR="00CE6B33" w:rsidRPr="009C0D99" w:rsidRDefault="00CE6B33">
            <w:pPr>
              <w:rPr>
                <w:lang w:val="en-US"/>
              </w:rPr>
            </w:pPr>
          </w:p>
        </w:tc>
      </w:tr>
      <w:tr w:rsidR="00C24D56" w:rsidRPr="009C0D99" w:rsidTr="00CE6B33">
        <w:tc>
          <w:tcPr>
            <w:tcW w:w="4785" w:type="dxa"/>
          </w:tcPr>
          <w:p w:rsidR="00C24D56" w:rsidRPr="009C0D99" w:rsidRDefault="00C770F2" w:rsidP="006B5547">
            <w:pPr>
              <w:jc w:val="both"/>
              <w:rPr>
                <w:lang w:val="en-US"/>
              </w:rPr>
            </w:pPr>
            <w:proofErr w:type="spellStart"/>
            <w:r w:rsidRPr="009C0D99">
              <w:rPr>
                <w:lang w:val="en-US"/>
              </w:rPr>
              <w:t>Gordonstoun</w:t>
            </w:r>
            <w:proofErr w:type="spellEnd"/>
            <w:r w:rsidRPr="009C0D99">
              <w:rPr>
                <w:lang w:val="en-US"/>
              </w:rPr>
              <w:t xml:space="preserve"> follows the English GCSE and A-Level curriculum. With a staff/pupil ratio of 1:7 and every student’s progress carefully overseen by </w:t>
            </w:r>
            <w:r w:rsidRPr="009C0D99">
              <w:rPr>
                <w:lang w:val="en-US"/>
              </w:rPr>
              <w:lastRenderedPageBreak/>
              <w:t>their tutor, they go on Universities, Colleges and Art Schools all over the world - from Oxford and Cambridge, to Central St Martins or the Royal Academy of Music - to study a diverse range of subjects, from Latin to aeronautical engineering, from physics to law to drama and performance.</w:t>
            </w:r>
          </w:p>
        </w:tc>
        <w:tc>
          <w:tcPr>
            <w:tcW w:w="4786" w:type="dxa"/>
          </w:tcPr>
          <w:p w:rsidR="00C24D56" w:rsidRPr="009C0D99" w:rsidRDefault="00C24D56">
            <w:pPr>
              <w:rPr>
                <w:lang w:val="en-US"/>
              </w:rPr>
            </w:pPr>
          </w:p>
        </w:tc>
      </w:tr>
      <w:tr w:rsidR="00C24D56" w:rsidRPr="009C0D99" w:rsidTr="00CE6B33">
        <w:tc>
          <w:tcPr>
            <w:tcW w:w="4785" w:type="dxa"/>
          </w:tcPr>
          <w:p w:rsidR="00C24D56" w:rsidRPr="00635DFC" w:rsidRDefault="00635DFC" w:rsidP="006B5547">
            <w:pPr>
              <w:jc w:val="both"/>
              <w:rPr>
                <w:lang w:val="en-US"/>
              </w:rPr>
            </w:pPr>
            <w:r w:rsidRPr="009C0D99">
              <w:rPr>
                <w:lang w:val="en-US"/>
              </w:rPr>
              <w:lastRenderedPageBreak/>
              <w:t>With students aged from 7-18, the school is fully co-educational and is committed to an admissions system whereby one third of its pupils come from Scotland, one third from the rest of the UK and on</w:t>
            </w:r>
            <w:r w:rsidR="00DB53D5">
              <w:rPr>
                <w:lang w:val="en-US"/>
              </w:rPr>
              <w:t>e</w:t>
            </w:r>
            <w:r w:rsidRPr="009C0D99">
              <w:rPr>
                <w:lang w:val="en-US"/>
              </w:rPr>
              <w:t xml:space="preserve"> third from overseas. Pupils therefore live and learn alongside fellow students from across the social, cultural and geographical board</w:t>
            </w:r>
            <w:r>
              <w:rPr>
                <w:lang w:val="en-US"/>
              </w:rPr>
              <w:t>.</w:t>
            </w:r>
          </w:p>
        </w:tc>
        <w:tc>
          <w:tcPr>
            <w:tcW w:w="4786" w:type="dxa"/>
          </w:tcPr>
          <w:p w:rsidR="00C24D56" w:rsidRPr="009C0D99" w:rsidRDefault="00C24D56">
            <w:pPr>
              <w:rPr>
                <w:lang w:val="en-US"/>
              </w:rPr>
            </w:pPr>
          </w:p>
        </w:tc>
      </w:tr>
    </w:tbl>
    <w:p w:rsidR="00B14097" w:rsidRPr="009C0D99" w:rsidRDefault="00B14097">
      <w:pPr>
        <w:rPr>
          <w:lang w:val="en-US"/>
        </w:rPr>
      </w:pPr>
    </w:p>
    <w:sectPr w:rsidR="00B14097" w:rsidRPr="009C0D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056"/>
    <w:rsid w:val="00174AD2"/>
    <w:rsid w:val="00207394"/>
    <w:rsid w:val="0029192D"/>
    <w:rsid w:val="00362111"/>
    <w:rsid w:val="0039647D"/>
    <w:rsid w:val="00426777"/>
    <w:rsid w:val="00635DFC"/>
    <w:rsid w:val="006B5547"/>
    <w:rsid w:val="00726DEE"/>
    <w:rsid w:val="007E7856"/>
    <w:rsid w:val="0088718F"/>
    <w:rsid w:val="009C0D99"/>
    <w:rsid w:val="00A16E4E"/>
    <w:rsid w:val="00B14097"/>
    <w:rsid w:val="00C24D56"/>
    <w:rsid w:val="00C770F2"/>
    <w:rsid w:val="00CE6B33"/>
    <w:rsid w:val="00DB53D5"/>
    <w:rsid w:val="00EB0A4D"/>
    <w:rsid w:val="00FC2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uiPriority w:val="99"/>
    <w:qFormat/>
    <w:rsid w:val="009C0D99"/>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uiPriority w:val="99"/>
    <w:qFormat/>
    <w:rsid w:val="009C0D99"/>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75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417</Words>
  <Characters>2382</Characters>
  <Application>Microsoft Office Word</Application>
  <DocSecurity>0</DocSecurity>
  <Lines>19</Lines>
  <Paragraphs>5</Paragraphs>
  <ScaleCrop>false</ScaleCrop>
  <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Chernyuk Anton</dc:creator>
  <cp:keywords/>
  <dc:description/>
  <cp:lastModifiedBy>Новая Варя</cp:lastModifiedBy>
  <cp:revision>15</cp:revision>
  <dcterms:created xsi:type="dcterms:W3CDTF">2017-11-14T11:27:00Z</dcterms:created>
  <dcterms:modified xsi:type="dcterms:W3CDTF">2017-12-10T20:31:00Z</dcterms:modified>
</cp:coreProperties>
</file>