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67" w:rsidRPr="00774B05" w:rsidRDefault="00315D67" w:rsidP="00315D67">
      <w:pPr>
        <w:rPr>
          <w:rFonts w:ascii="Arial" w:hAnsi="Arial" w:cs="Arial"/>
          <w:b/>
          <w:sz w:val="20"/>
          <w:szCs w:val="20"/>
        </w:rPr>
      </w:pPr>
      <w:r w:rsidRPr="00774B05">
        <w:rPr>
          <w:rFonts w:ascii="Arial" w:hAnsi="Arial" w:cs="Arial"/>
          <w:b/>
          <w:sz w:val="20"/>
          <w:szCs w:val="20"/>
        </w:rPr>
        <w:t xml:space="preserve">Фамилия переводчика </w:t>
      </w:r>
      <w:r w:rsidRPr="00774B05">
        <w:rPr>
          <w:rFonts w:ascii="Arial" w:hAnsi="Arial" w:cs="Arial"/>
          <w:b/>
          <w:sz w:val="20"/>
          <w:szCs w:val="20"/>
          <w:u w:val="single"/>
        </w:rPr>
        <w:t>_______________________________</w:t>
      </w:r>
    </w:p>
    <w:p w:rsidR="00315D67" w:rsidRPr="00774B05" w:rsidRDefault="00315D67" w:rsidP="00315D6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Направление перевода: </w:t>
      </w:r>
      <w:r>
        <w:rPr>
          <w:rFonts w:ascii="Arial" w:hAnsi="Arial" w:cs="Arial"/>
          <w:b/>
          <w:sz w:val="20"/>
          <w:szCs w:val="20"/>
        </w:rPr>
        <w:t>Английский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-</w:t>
      </w:r>
      <w:r w:rsidRPr="00774B05">
        <w:rPr>
          <w:rFonts w:ascii="Arial" w:hAnsi="Arial" w:cs="Arial"/>
          <w:b/>
          <w:sz w:val="20"/>
          <w:szCs w:val="20"/>
        </w:rPr>
        <w:t>&gt;</w:t>
      </w:r>
      <w:r>
        <w:rPr>
          <w:rFonts w:ascii="Arial" w:hAnsi="Arial" w:cs="Arial"/>
          <w:b/>
          <w:sz w:val="20"/>
          <w:szCs w:val="20"/>
        </w:rPr>
        <w:t>Русский</w:t>
      </w:r>
    </w:p>
    <w:p w:rsidR="00315D67" w:rsidRPr="00774B05" w:rsidRDefault="00315D67" w:rsidP="00315D67">
      <w:pPr>
        <w:rPr>
          <w:rStyle w:val="a4"/>
          <w:rFonts w:ascii="Arial" w:hAnsi="Arial" w:cs="Arial"/>
          <w:bCs/>
          <w:i/>
          <w:sz w:val="20"/>
          <w:szCs w:val="20"/>
        </w:rPr>
      </w:pPr>
      <w:r w:rsidRPr="00774B05">
        <w:rPr>
          <w:rFonts w:ascii="Arial" w:hAnsi="Arial" w:cs="Arial"/>
          <w:b/>
          <w:sz w:val="20"/>
          <w:szCs w:val="20"/>
        </w:rPr>
        <w:t>Предметная область:</w:t>
      </w:r>
      <w:r w:rsidRPr="00774B05">
        <w:rPr>
          <w:rStyle w:val="a4"/>
          <w:rFonts w:ascii="Arial" w:hAnsi="Arial" w:cs="Arial"/>
          <w:bCs/>
          <w:i/>
          <w:sz w:val="20"/>
          <w:szCs w:val="20"/>
        </w:rPr>
        <w:t xml:space="preserve"> </w:t>
      </w:r>
      <w:r>
        <w:rPr>
          <w:rStyle w:val="a4"/>
          <w:rFonts w:ascii="Arial" w:hAnsi="Arial" w:cs="Arial"/>
          <w:bCs/>
          <w:i/>
          <w:sz w:val="20"/>
          <w:szCs w:val="20"/>
        </w:rPr>
        <w:t>химия - маркетинг</w:t>
      </w:r>
    </w:p>
    <w:p w:rsidR="00315D67" w:rsidRPr="00774B05" w:rsidRDefault="00315D67" w:rsidP="00315D67">
      <w:pPr>
        <w:rPr>
          <w:rFonts w:ascii="Arial" w:hAnsi="Arial" w:cs="Arial"/>
          <w:sz w:val="20"/>
          <w:szCs w:val="20"/>
        </w:rPr>
      </w:pPr>
      <w:r w:rsidRPr="00774B05">
        <w:rPr>
          <w:rFonts w:ascii="Arial" w:hAnsi="Arial" w:cs="Arial"/>
          <w:b/>
          <w:i/>
          <w:sz w:val="20"/>
          <w:szCs w:val="20"/>
        </w:rPr>
        <w:t>Примечание 1:</w:t>
      </w:r>
      <w:r w:rsidRPr="00774B05">
        <w:rPr>
          <w:rFonts w:ascii="Arial" w:hAnsi="Arial" w:cs="Arial"/>
          <w:i/>
          <w:sz w:val="20"/>
          <w:szCs w:val="20"/>
        </w:rPr>
        <w:t xml:space="preserve"> Необходимо сделать перевод приведенного ниже фрагмента текста</w:t>
      </w:r>
    </w:p>
    <w:p w:rsidR="00315D67" w:rsidRPr="00774B05" w:rsidRDefault="00315D67" w:rsidP="00315D67">
      <w:pPr>
        <w:rPr>
          <w:rFonts w:ascii="Arial" w:hAnsi="Arial" w:cs="Arial"/>
          <w:snapToGrid w:val="0"/>
          <w:sz w:val="20"/>
          <w:szCs w:val="20"/>
        </w:rPr>
      </w:pPr>
      <w:r w:rsidRPr="00774B05">
        <w:rPr>
          <w:rFonts w:ascii="Arial" w:hAnsi="Arial" w:cs="Arial"/>
          <w:b/>
          <w:i/>
          <w:sz w:val="20"/>
          <w:szCs w:val="20"/>
        </w:rPr>
        <w:t>Примечание 2:</w:t>
      </w:r>
      <w:r w:rsidRPr="00774B05">
        <w:rPr>
          <w:rFonts w:ascii="Arial" w:hAnsi="Arial" w:cs="Arial"/>
          <w:i/>
          <w:sz w:val="20"/>
          <w:szCs w:val="20"/>
        </w:rPr>
        <w:t xml:space="preserve"> Перевод текста размещается </w:t>
      </w:r>
      <w:r w:rsidRPr="00774B05">
        <w:rPr>
          <w:rFonts w:ascii="Arial" w:hAnsi="Arial" w:cs="Arial"/>
          <w:i/>
          <w:snapToGrid w:val="0"/>
          <w:sz w:val="20"/>
          <w:szCs w:val="20"/>
        </w:rPr>
        <w:t>в соответствующий столбец</w:t>
      </w:r>
      <w:r w:rsidRPr="00774B05">
        <w:rPr>
          <w:rFonts w:ascii="Arial" w:hAnsi="Arial" w:cs="Arial"/>
          <w:snapToGrid w:val="0"/>
          <w:sz w:val="20"/>
          <w:szCs w:val="20"/>
        </w:rPr>
        <w:t>.</w:t>
      </w:r>
    </w:p>
    <w:p w:rsidR="00315D67" w:rsidRDefault="00315D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3BDA" w:rsidRPr="00F61BE7" w:rsidTr="001E3BDA">
        <w:tc>
          <w:tcPr>
            <w:tcW w:w="4785" w:type="dxa"/>
          </w:tcPr>
          <w:p w:rsidR="001E3BDA" w:rsidRPr="00F61BE7" w:rsidRDefault="001E3BDA" w:rsidP="00244C26">
            <w:pPr>
              <w:jc w:val="both"/>
              <w:rPr>
                <w:b/>
                <w:lang w:val="en-GB"/>
              </w:rPr>
            </w:pPr>
            <w:proofErr w:type="spellStart"/>
            <w:r w:rsidRPr="00F61BE7">
              <w:rPr>
                <w:b/>
                <w:lang w:val="en-GB"/>
              </w:rPr>
              <w:t>En</w:t>
            </w:r>
            <w:proofErr w:type="spellEnd"/>
          </w:p>
        </w:tc>
        <w:tc>
          <w:tcPr>
            <w:tcW w:w="4786" w:type="dxa"/>
          </w:tcPr>
          <w:p w:rsidR="001E3BDA" w:rsidRPr="00F61BE7" w:rsidRDefault="001E3BDA">
            <w:pPr>
              <w:rPr>
                <w:b/>
                <w:lang w:val="en-GB"/>
              </w:rPr>
            </w:pPr>
            <w:r w:rsidRPr="00F61BE7">
              <w:rPr>
                <w:b/>
                <w:lang w:val="en-GB"/>
              </w:rPr>
              <w:t>Ru</w:t>
            </w:r>
          </w:p>
        </w:tc>
      </w:tr>
      <w:tr w:rsidR="001E3BDA" w:rsidRPr="00315D67" w:rsidTr="001E3BDA">
        <w:tc>
          <w:tcPr>
            <w:tcW w:w="4785" w:type="dxa"/>
          </w:tcPr>
          <w:p w:rsidR="00244C26" w:rsidRPr="00F61BE7" w:rsidRDefault="00244C26" w:rsidP="00244C26">
            <w:pPr>
              <w:jc w:val="both"/>
              <w:rPr>
                <w:lang w:val="en-GB"/>
              </w:rPr>
            </w:pPr>
            <w:r w:rsidRPr="00F61BE7">
              <w:rPr>
                <w:lang w:val="en-GB"/>
              </w:rPr>
              <w:t xml:space="preserve">With today’s broadest and deepest portfolio of GC and GC/MS solutions, </w:t>
            </w:r>
            <w:r w:rsidR="00C25B12" w:rsidRPr="00F61BE7">
              <w:rPr>
                <w:i/>
                <w:lang w:val="en-GB"/>
              </w:rPr>
              <w:t>CompanyName</w:t>
            </w:r>
            <w:r w:rsidR="00C25B12" w:rsidRPr="00F61BE7">
              <w:rPr>
                <w:lang w:val="en-GB"/>
              </w:rPr>
              <w:t xml:space="preserve"> </w:t>
            </w:r>
            <w:r w:rsidRPr="00F61BE7">
              <w:rPr>
                <w:lang w:val="en-GB"/>
              </w:rPr>
              <w:t>has exactly what you need to boost your lab’s performance and versatility.</w:t>
            </w:r>
            <w:r w:rsidR="00714761" w:rsidRPr="00F61BE7">
              <w:rPr>
                <w:lang w:val="en-GB"/>
              </w:rPr>
              <w:t xml:space="preserve"> </w:t>
            </w:r>
            <w:r w:rsidRPr="00F61BE7">
              <w:rPr>
                <w:lang w:val="en-GB"/>
              </w:rPr>
              <w:t xml:space="preserve">From the robust and routine oriented </w:t>
            </w:r>
            <w:r w:rsidR="00476BC7" w:rsidRPr="00F61BE7">
              <w:rPr>
                <w:lang w:val="en-GB"/>
              </w:rPr>
              <w:t>8702A </w:t>
            </w:r>
            <w:r w:rsidR="00714761" w:rsidRPr="00F61BE7">
              <w:rPr>
                <w:lang w:val="en-GB"/>
              </w:rPr>
              <w:t xml:space="preserve">GC to the </w:t>
            </w:r>
            <w:r w:rsidRPr="00F61BE7">
              <w:rPr>
                <w:lang w:val="en-GB"/>
              </w:rPr>
              <w:t>9</w:t>
            </w:r>
            <w:r w:rsidR="00714761" w:rsidRPr="00F61BE7">
              <w:rPr>
                <w:lang w:val="en-GB"/>
              </w:rPr>
              <w:t>5</w:t>
            </w:r>
            <w:r w:rsidRPr="00F61BE7">
              <w:rPr>
                <w:lang w:val="en-GB"/>
              </w:rPr>
              <w:t>77</w:t>
            </w:r>
            <w:r w:rsidR="00F6420A" w:rsidRPr="00F61BE7">
              <w:rPr>
                <w:lang w:val="en-GB"/>
              </w:rPr>
              <w:t>SE</w:t>
            </w:r>
            <w:r w:rsidR="00714761" w:rsidRPr="00F61BE7">
              <w:rPr>
                <w:lang w:val="en-GB"/>
              </w:rPr>
              <w:t> —</w:t>
            </w:r>
            <w:r w:rsidRPr="00F61BE7">
              <w:rPr>
                <w:lang w:val="en-GB"/>
              </w:rPr>
              <w:t xml:space="preserve"> new version of the most successful Single Quadrupole GC/MS of all time, you’ve got the strongest line-up to choose from.</w:t>
            </w:r>
          </w:p>
          <w:p w:rsidR="001E3BDA" w:rsidRPr="00F61BE7" w:rsidRDefault="00C25B12" w:rsidP="00BF5C26">
            <w:pPr>
              <w:jc w:val="both"/>
              <w:rPr>
                <w:lang w:val="en-GB"/>
              </w:rPr>
            </w:pPr>
            <w:r w:rsidRPr="00F61BE7">
              <w:rPr>
                <w:i/>
                <w:lang w:val="en-GB"/>
              </w:rPr>
              <w:t>CompanyName</w:t>
            </w:r>
            <w:r w:rsidR="00244C26" w:rsidRPr="00F61BE7">
              <w:rPr>
                <w:lang w:val="en-GB"/>
              </w:rPr>
              <w:t>’s new GC and GC/MS products are the perfect solutions from standard to complex analyses to always provide the highest return on investment for University and medium-size laboratories.</w:t>
            </w:r>
          </w:p>
        </w:tc>
        <w:tc>
          <w:tcPr>
            <w:tcW w:w="4786" w:type="dxa"/>
          </w:tcPr>
          <w:p w:rsidR="001E3BDA" w:rsidRPr="00F61BE7" w:rsidRDefault="001E3BDA">
            <w:pPr>
              <w:rPr>
                <w:lang w:val="en-GB"/>
              </w:rPr>
            </w:pPr>
          </w:p>
        </w:tc>
      </w:tr>
      <w:tr w:rsidR="001E3BDA" w:rsidRPr="00315D67" w:rsidTr="001E3BDA">
        <w:tc>
          <w:tcPr>
            <w:tcW w:w="4785" w:type="dxa"/>
          </w:tcPr>
          <w:p w:rsidR="00B61E43" w:rsidRPr="00F61BE7" w:rsidRDefault="00B61E43" w:rsidP="00B61E43">
            <w:pPr>
              <w:jc w:val="both"/>
              <w:rPr>
                <w:lang w:val="en-GB"/>
              </w:rPr>
            </w:pPr>
            <w:r w:rsidRPr="00F61BE7">
              <w:rPr>
                <w:lang w:val="en-GB"/>
              </w:rPr>
              <w:t xml:space="preserve">Push your UHPLC performance to infinite limits and run your </w:t>
            </w:r>
            <w:r w:rsidR="008730CE" w:rsidRPr="00F61BE7">
              <w:rPr>
                <w:lang w:val="en-GB"/>
              </w:rPr>
              <w:t>conventional methods with confi</w:t>
            </w:r>
            <w:r w:rsidRPr="00F61BE7">
              <w:rPr>
                <w:lang w:val="en-GB"/>
              </w:rPr>
              <w:t>dence</w:t>
            </w:r>
          </w:p>
          <w:p w:rsidR="00B61E43" w:rsidRPr="00F61BE7" w:rsidRDefault="00B61E43" w:rsidP="00B61E43">
            <w:pPr>
              <w:jc w:val="both"/>
              <w:rPr>
                <w:lang w:val="en-GB"/>
              </w:rPr>
            </w:pPr>
            <w:r w:rsidRPr="00F61BE7">
              <w:rPr>
                <w:lang w:val="en-GB"/>
              </w:rPr>
              <w:t xml:space="preserve">Whether you need a “workhorse” LC system for routine analysis or the most sophisticated, high-resolution LC/MS system, the </w:t>
            </w:r>
            <w:r w:rsidR="00C25B12" w:rsidRPr="00F61BE7">
              <w:rPr>
                <w:i/>
                <w:lang w:val="en-GB"/>
              </w:rPr>
              <w:t>CompanyName</w:t>
            </w:r>
            <w:r w:rsidR="00C25B12" w:rsidRPr="00F61BE7">
              <w:rPr>
                <w:lang w:val="en-GB"/>
              </w:rPr>
              <w:t xml:space="preserve"> </w:t>
            </w:r>
            <w:r w:rsidR="006C2327" w:rsidRPr="00F61BE7">
              <w:rPr>
                <w:lang w:val="en-GB"/>
              </w:rPr>
              <w:t>1</w:t>
            </w:r>
            <w:r w:rsidR="00C25B12" w:rsidRPr="00F61BE7">
              <w:rPr>
                <w:lang w:val="en-GB"/>
              </w:rPr>
              <w:t>25</w:t>
            </w:r>
            <w:r w:rsidRPr="00F61BE7">
              <w:rPr>
                <w:lang w:val="en-GB"/>
              </w:rPr>
              <w:t>0 Infi</w:t>
            </w:r>
            <w:r w:rsidR="006C2327" w:rsidRPr="00F61BE7">
              <w:rPr>
                <w:lang w:val="en-GB"/>
              </w:rPr>
              <w:t>nit</w:t>
            </w:r>
            <w:r w:rsidRPr="00F61BE7">
              <w:rPr>
                <w:lang w:val="en-GB"/>
              </w:rPr>
              <w:t xml:space="preserve"> Series has what you’re looking for.</w:t>
            </w:r>
          </w:p>
          <w:p w:rsidR="001E3BDA" w:rsidRPr="00F61BE7" w:rsidRDefault="00B61E43" w:rsidP="00843AC8">
            <w:pPr>
              <w:jc w:val="both"/>
              <w:rPr>
                <w:lang w:val="en-GB"/>
              </w:rPr>
            </w:pPr>
            <w:r w:rsidRPr="00F61BE7">
              <w:rPr>
                <w:lang w:val="en-GB"/>
              </w:rPr>
              <w:t>Together with critical supplies and r</w:t>
            </w:r>
            <w:r w:rsidR="007E71B8" w:rsidRPr="00F61BE7">
              <w:rPr>
                <w:lang w:val="en-GB"/>
              </w:rPr>
              <w:t xml:space="preserve">eplacement parts, our </w:t>
            </w:r>
            <w:r w:rsidR="00843AC8" w:rsidRPr="00F61BE7">
              <w:rPr>
                <w:lang w:val="en-GB"/>
              </w:rPr>
              <w:t>12</w:t>
            </w:r>
            <w:r w:rsidR="00C25B12" w:rsidRPr="00F61BE7">
              <w:rPr>
                <w:lang w:val="en-GB"/>
              </w:rPr>
              <w:t xml:space="preserve">50 </w:t>
            </w:r>
            <w:r w:rsidR="006C2327" w:rsidRPr="00F61BE7">
              <w:rPr>
                <w:lang w:val="en-GB"/>
              </w:rPr>
              <w:t xml:space="preserve">Infinit </w:t>
            </w:r>
            <w:r w:rsidRPr="00F61BE7">
              <w:rPr>
                <w:lang w:val="en-GB"/>
              </w:rPr>
              <w:t xml:space="preserve">Series LC systems deliver ultimate resolution and sensitivity, while helping you boost your separation power per time. They also ensure easy method transferability between </w:t>
            </w:r>
            <w:r w:rsidR="00921440" w:rsidRPr="00F61BE7">
              <w:rPr>
                <w:lang w:val="en-GB"/>
              </w:rPr>
              <w:t>systems —</w:t>
            </w:r>
            <w:r w:rsidRPr="00F61BE7">
              <w:rPr>
                <w:lang w:val="en-GB"/>
              </w:rPr>
              <w:t xml:space="preserve"> without redevelopment or revalidation.</w:t>
            </w:r>
          </w:p>
        </w:tc>
        <w:tc>
          <w:tcPr>
            <w:tcW w:w="4786" w:type="dxa"/>
          </w:tcPr>
          <w:p w:rsidR="001E3BDA" w:rsidRPr="00F61BE7" w:rsidRDefault="001E3BDA">
            <w:pPr>
              <w:rPr>
                <w:lang w:val="en-GB"/>
              </w:rPr>
            </w:pPr>
          </w:p>
        </w:tc>
      </w:tr>
      <w:tr w:rsidR="001E3BDA" w:rsidRPr="00315D67" w:rsidTr="001E3BDA">
        <w:tc>
          <w:tcPr>
            <w:tcW w:w="4785" w:type="dxa"/>
          </w:tcPr>
          <w:p w:rsidR="001E3BDA" w:rsidRPr="00F61BE7" w:rsidRDefault="00CD5104" w:rsidP="00E7227A">
            <w:pPr>
              <w:jc w:val="both"/>
              <w:rPr>
                <w:lang w:val="en-GB"/>
              </w:rPr>
            </w:pPr>
            <w:r w:rsidRPr="00F61BE7">
              <w:rPr>
                <w:lang w:val="en-GB"/>
              </w:rPr>
              <w:t>Try 1.</w:t>
            </w:r>
            <w:r w:rsidR="00CD1B3C" w:rsidRPr="00F61BE7">
              <w:rPr>
                <w:lang w:val="en-GB"/>
              </w:rPr>
              <w:t>7</w:t>
            </w:r>
            <w:r w:rsidRPr="00F61BE7">
              <w:rPr>
                <w:lang w:val="en-GB"/>
              </w:rPr>
              <w:t xml:space="preserve"> </w:t>
            </w:r>
            <w:proofErr w:type="spellStart"/>
            <w:r w:rsidRPr="00F61BE7">
              <w:rPr>
                <w:lang w:val="en-GB"/>
              </w:rPr>
              <w:t>μm</w:t>
            </w:r>
            <w:proofErr w:type="spellEnd"/>
            <w:r w:rsidRPr="00F61BE7">
              <w:rPr>
                <w:lang w:val="en-GB"/>
              </w:rPr>
              <w:t xml:space="preserve"> RRHD</w:t>
            </w:r>
            <w:r w:rsidR="006A49D1" w:rsidRPr="00F61BE7">
              <w:rPr>
                <w:lang w:val="en-GB"/>
              </w:rPr>
              <w:t xml:space="preserve"> columns —</w:t>
            </w:r>
            <w:r w:rsidRPr="00F61BE7">
              <w:rPr>
                <w:lang w:val="en-GB"/>
              </w:rPr>
              <w:t xml:space="preserve"> stable to 1</w:t>
            </w:r>
            <w:r w:rsidR="00E7227A" w:rsidRPr="00F61BE7">
              <w:rPr>
                <w:lang w:val="en-GB"/>
              </w:rPr>
              <w:t>1</w:t>
            </w:r>
            <w:r w:rsidRPr="00F61BE7">
              <w:rPr>
                <w:lang w:val="en-GB"/>
              </w:rPr>
              <w:t>00 bar</w:t>
            </w:r>
          </w:p>
        </w:tc>
        <w:tc>
          <w:tcPr>
            <w:tcW w:w="4786" w:type="dxa"/>
          </w:tcPr>
          <w:p w:rsidR="001E3BDA" w:rsidRPr="00F61BE7" w:rsidRDefault="001E3BDA">
            <w:pPr>
              <w:rPr>
                <w:lang w:val="en-GB"/>
              </w:rPr>
            </w:pPr>
          </w:p>
        </w:tc>
      </w:tr>
      <w:tr w:rsidR="001E3BDA" w:rsidRPr="00315D67" w:rsidTr="001E3BDA">
        <w:tc>
          <w:tcPr>
            <w:tcW w:w="4785" w:type="dxa"/>
          </w:tcPr>
          <w:p w:rsidR="001E3BDA" w:rsidRPr="00F61BE7" w:rsidRDefault="007E71B8" w:rsidP="00213E7F">
            <w:pPr>
              <w:jc w:val="both"/>
              <w:rPr>
                <w:lang w:val="en-GB"/>
              </w:rPr>
            </w:pPr>
            <w:r w:rsidRPr="00F61BE7">
              <w:rPr>
                <w:lang w:val="en-GB"/>
              </w:rPr>
              <w:t xml:space="preserve">With the </w:t>
            </w:r>
            <w:proofErr w:type="spellStart"/>
            <w:r w:rsidR="00C25B12" w:rsidRPr="00F61BE7">
              <w:rPr>
                <w:i/>
                <w:lang w:val="en-GB"/>
              </w:rPr>
              <w:t>CompanyName</w:t>
            </w:r>
            <w:proofErr w:type="spellEnd"/>
            <w:r w:rsidR="00C25B12" w:rsidRPr="00F61BE7">
              <w:rPr>
                <w:lang w:val="en-GB"/>
              </w:rPr>
              <w:t xml:space="preserve"> </w:t>
            </w:r>
            <w:r w:rsidRPr="00F61BE7">
              <w:rPr>
                <w:lang w:val="en-GB"/>
              </w:rPr>
              <w:t>2</w:t>
            </w:r>
            <w:r w:rsidR="00213E7F" w:rsidRPr="00F61BE7">
              <w:rPr>
                <w:lang w:val="en-GB"/>
              </w:rPr>
              <w:t>1</w:t>
            </w:r>
            <w:r w:rsidRPr="00F61BE7">
              <w:rPr>
                <w:lang w:val="en-GB"/>
              </w:rPr>
              <w:t xml:space="preserve">90 </w:t>
            </w:r>
            <w:r w:rsidR="006C2327" w:rsidRPr="00F61BE7">
              <w:rPr>
                <w:lang w:val="en-GB"/>
              </w:rPr>
              <w:t xml:space="preserve">Infinit </w:t>
            </w:r>
            <w:r w:rsidR="009E3D72" w:rsidRPr="00F61BE7">
              <w:rPr>
                <w:lang w:val="en-GB"/>
              </w:rPr>
              <w:t xml:space="preserve">LC, you’re no longer limited in your choice of column dimension, particle type, mobile and stationary phase, flow rate, or pressure. That is because the </w:t>
            </w:r>
            <w:r w:rsidR="00213E7F" w:rsidRPr="00F61BE7">
              <w:rPr>
                <w:lang w:val="en-GB"/>
              </w:rPr>
              <w:t>2</w:t>
            </w:r>
            <w:r w:rsidR="009E3D72" w:rsidRPr="00F61BE7">
              <w:rPr>
                <w:lang w:val="en-GB"/>
              </w:rPr>
              <w:t xml:space="preserve">190 </w:t>
            </w:r>
            <w:r w:rsidR="006C2327" w:rsidRPr="00F61BE7">
              <w:rPr>
                <w:lang w:val="en-GB"/>
              </w:rPr>
              <w:t xml:space="preserve">Infinit </w:t>
            </w:r>
            <w:r w:rsidR="009E3D72" w:rsidRPr="00F61BE7">
              <w:rPr>
                <w:lang w:val="en-GB"/>
              </w:rPr>
              <w:t xml:space="preserve">LC is the first system that gives you the foundation for method transfer to or from any </w:t>
            </w:r>
            <w:r w:rsidR="00C25B12" w:rsidRPr="00F61BE7">
              <w:rPr>
                <w:i/>
                <w:lang w:val="en-GB"/>
              </w:rPr>
              <w:t>CompanyName</w:t>
            </w:r>
            <w:r w:rsidR="00C25B12" w:rsidRPr="00F61BE7">
              <w:rPr>
                <w:lang w:val="en-GB"/>
              </w:rPr>
              <w:t xml:space="preserve"> </w:t>
            </w:r>
            <w:r w:rsidR="009E3D72" w:rsidRPr="00F61BE7">
              <w:rPr>
                <w:lang w:val="en-GB"/>
              </w:rPr>
              <w:t>or non-</w:t>
            </w:r>
            <w:r w:rsidR="00C25B12" w:rsidRPr="00F61BE7">
              <w:rPr>
                <w:i/>
                <w:lang w:val="en-GB"/>
              </w:rPr>
              <w:t>CompanyName</w:t>
            </w:r>
            <w:r w:rsidR="00C25B12" w:rsidRPr="00F61BE7">
              <w:rPr>
                <w:lang w:val="en-GB"/>
              </w:rPr>
              <w:t xml:space="preserve"> </w:t>
            </w:r>
            <w:r w:rsidR="009E3D72" w:rsidRPr="00F61BE7">
              <w:rPr>
                <w:lang w:val="en-GB"/>
              </w:rPr>
              <w:t>UHPLC or HPLC system.</w:t>
            </w:r>
          </w:p>
        </w:tc>
        <w:tc>
          <w:tcPr>
            <w:tcW w:w="4786" w:type="dxa"/>
          </w:tcPr>
          <w:p w:rsidR="001E3BDA" w:rsidRPr="00F61BE7" w:rsidRDefault="001E3BDA">
            <w:pPr>
              <w:rPr>
                <w:lang w:val="en-GB"/>
              </w:rPr>
            </w:pPr>
          </w:p>
        </w:tc>
      </w:tr>
      <w:tr w:rsidR="001E3BDA" w:rsidRPr="00315D67" w:rsidTr="001E3BDA">
        <w:tc>
          <w:tcPr>
            <w:tcW w:w="4785" w:type="dxa"/>
          </w:tcPr>
          <w:p w:rsidR="001E3BDA" w:rsidRPr="00F61BE7" w:rsidRDefault="000B7F45" w:rsidP="00EA41C4">
            <w:pPr>
              <w:jc w:val="both"/>
              <w:rPr>
                <w:lang w:val="en-GB"/>
              </w:rPr>
            </w:pPr>
            <w:r w:rsidRPr="00F61BE7">
              <w:rPr>
                <w:lang w:val="en-GB"/>
              </w:rPr>
              <w:t xml:space="preserve">One way to increase resolution is by using columns packed with smaller-diameter media; however, smaller particles can increase system backpressure. Superficially porous particles, such as </w:t>
            </w:r>
            <w:r w:rsidR="00C25B12" w:rsidRPr="00F61BE7">
              <w:rPr>
                <w:i/>
                <w:lang w:val="en-GB"/>
              </w:rPr>
              <w:t>CompanyName</w:t>
            </w:r>
            <w:r w:rsidR="00C25B12" w:rsidRPr="00F61BE7">
              <w:rPr>
                <w:lang w:val="en-GB"/>
              </w:rPr>
              <w:t xml:space="preserve"> </w:t>
            </w:r>
            <w:r w:rsidR="00E12A35" w:rsidRPr="00F61BE7">
              <w:rPr>
                <w:lang w:val="en-GB"/>
              </w:rPr>
              <w:t>P</w:t>
            </w:r>
            <w:r w:rsidRPr="00F61BE7">
              <w:rPr>
                <w:lang w:val="en-GB"/>
              </w:rPr>
              <w:t>ro</w:t>
            </w:r>
            <w:r w:rsidR="00E12A35" w:rsidRPr="00F61BE7">
              <w:rPr>
                <w:lang w:val="en-GB"/>
              </w:rPr>
              <w:t>S</w:t>
            </w:r>
            <w:r w:rsidR="00C25B12" w:rsidRPr="00F61BE7">
              <w:rPr>
                <w:lang w:val="en-GB"/>
              </w:rPr>
              <w:t>pell 12</w:t>
            </w:r>
            <w:r w:rsidR="00E5189B" w:rsidRPr="00F61BE7">
              <w:rPr>
                <w:lang w:val="en-GB"/>
              </w:rPr>
              <w:t>, achieve 8</w:t>
            </w:r>
            <w:r w:rsidR="00EA41C4" w:rsidRPr="00F61BE7">
              <w:rPr>
                <w:lang w:val="en-GB"/>
              </w:rPr>
              <w:t>5</w:t>
            </w:r>
            <w:r w:rsidRPr="00F61BE7">
              <w:rPr>
                <w:lang w:val="en-GB"/>
              </w:rPr>
              <w:t>% of the efficiency of 1.</w:t>
            </w:r>
            <w:r w:rsidR="00CD1B3C" w:rsidRPr="00F61BE7">
              <w:rPr>
                <w:lang w:val="en-GB"/>
              </w:rPr>
              <w:t>7</w:t>
            </w:r>
            <w:r w:rsidRPr="00F61BE7">
              <w:rPr>
                <w:lang w:val="en-GB"/>
              </w:rPr>
              <w:t xml:space="preserve"> μm materials with considerably lower pressure.</w:t>
            </w:r>
          </w:p>
        </w:tc>
        <w:tc>
          <w:tcPr>
            <w:tcW w:w="4786" w:type="dxa"/>
          </w:tcPr>
          <w:p w:rsidR="001E3BDA" w:rsidRPr="00F61BE7" w:rsidRDefault="001E3BDA">
            <w:pPr>
              <w:rPr>
                <w:lang w:val="en-GB"/>
              </w:rPr>
            </w:pPr>
          </w:p>
        </w:tc>
      </w:tr>
      <w:tr w:rsidR="001E3BDA" w:rsidRPr="00315D67" w:rsidTr="001E3BDA">
        <w:tc>
          <w:tcPr>
            <w:tcW w:w="4785" w:type="dxa"/>
          </w:tcPr>
          <w:p w:rsidR="001E3BDA" w:rsidRPr="00F61BE7" w:rsidRDefault="00C25B12" w:rsidP="00C25B12">
            <w:pPr>
              <w:jc w:val="both"/>
              <w:rPr>
                <w:lang w:val="en-GB"/>
              </w:rPr>
            </w:pPr>
            <w:proofErr w:type="spellStart"/>
            <w:r w:rsidRPr="00F61BE7">
              <w:rPr>
                <w:i/>
                <w:lang w:val="en-GB"/>
              </w:rPr>
              <w:t>CompanyName</w:t>
            </w:r>
            <w:proofErr w:type="spellEnd"/>
            <w:r w:rsidRPr="00F61BE7">
              <w:rPr>
                <w:lang w:val="en-GB"/>
              </w:rPr>
              <w:t xml:space="preserve"> p</w:t>
            </w:r>
            <w:r w:rsidR="000B7F45" w:rsidRPr="00F61BE7">
              <w:rPr>
                <w:lang w:val="en-GB"/>
              </w:rPr>
              <w:t xml:space="preserve">acked GC columns are designed </w:t>
            </w:r>
            <w:r w:rsidR="000B7F45" w:rsidRPr="00F61BE7">
              <w:rPr>
                <w:lang w:val="en-GB"/>
              </w:rPr>
              <w:lastRenderedPageBreak/>
              <w:t>and manufactured to offer excellent and reproducible performance for all sample types associated with packed column separations, most important in the hydrocarbon processing industry. Column-to-column reproducibility and efficiency is ensured, while UltiMetal treated stainless steel tubing improves inertness and peak shape performance.</w:t>
            </w:r>
          </w:p>
        </w:tc>
        <w:tc>
          <w:tcPr>
            <w:tcW w:w="4786" w:type="dxa"/>
          </w:tcPr>
          <w:p w:rsidR="001E3BDA" w:rsidRPr="00F61BE7" w:rsidRDefault="001E3BDA">
            <w:pPr>
              <w:rPr>
                <w:lang w:val="en-GB"/>
              </w:rPr>
            </w:pPr>
          </w:p>
        </w:tc>
      </w:tr>
      <w:tr w:rsidR="001E3BDA" w:rsidRPr="00315D67" w:rsidTr="001E3BDA">
        <w:tc>
          <w:tcPr>
            <w:tcW w:w="4785" w:type="dxa"/>
          </w:tcPr>
          <w:p w:rsidR="00264C88" w:rsidRPr="00F61BE7" w:rsidRDefault="00264C88" w:rsidP="00264C88">
            <w:pPr>
              <w:jc w:val="both"/>
              <w:rPr>
                <w:lang w:val="en-GB"/>
              </w:rPr>
            </w:pPr>
            <w:r w:rsidRPr="00F61BE7">
              <w:rPr>
                <w:lang w:val="en-GB"/>
              </w:rPr>
              <w:lastRenderedPageBreak/>
              <w:t>Manual sample prep is time-consuming and inherently variable. Such inconsistency can lead to time-consuming rework, wasted supplies, and the lingering uncertainty that your samples are not prepared the way your protocols – or regulatory requirements – dictate.</w:t>
            </w:r>
          </w:p>
          <w:p w:rsidR="00264C88" w:rsidRPr="00F61BE7" w:rsidRDefault="00264C88" w:rsidP="00264C88">
            <w:pPr>
              <w:jc w:val="both"/>
              <w:rPr>
                <w:lang w:val="en-GB"/>
              </w:rPr>
            </w:pPr>
            <w:r w:rsidRPr="00F61BE7">
              <w:rPr>
                <w:i/>
                <w:lang w:val="en-GB"/>
              </w:rPr>
              <w:t>CompanyName</w:t>
            </w:r>
            <w:r w:rsidRPr="00F61BE7">
              <w:rPr>
                <w:lang w:val="en-GB"/>
              </w:rPr>
              <w:t>’s Sample Prep WorkBench eases these frustrations, giving you greater confidence in your sample prep by:</w:t>
            </w:r>
          </w:p>
          <w:p w:rsidR="00264C88" w:rsidRPr="00F61BE7" w:rsidRDefault="00264C88" w:rsidP="00264C88">
            <w:pPr>
              <w:jc w:val="both"/>
              <w:rPr>
                <w:lang w:val="en-GB"/>
              </w:rPr>
            </w:pPr>
            <w:r w:rsidRPr="00F61BE7">
              <w:rPr>
                <w:lang w:val="en-GB"/>
              </w:rPr>
              <w:t>• Decreasing sample carryover</w:t>
            </w:r>
          </w:p>
          <w:p w:rsidR="00264C88" w:rsidRPr="00F61BE7" w:rsidRDefault="00264C88" w:rsidP="00264C88">
            <w:pPr>
              <w:jc w:val="both"/>
              <w:rPr>
                <w:lang w:val="en-GB"/>
              </w:rPr>
            </w:pPr>
            <w:r w:rsidRPr="00F61BE7">
              <w:rPr>
                <w:lang w:val="en-GB"/>
              </w:rPr>
              <w:t>• Minimizing variability between analysts</w:t>
            </w:r>
          </w:p>
          <w:p w:rsidR="00264C88" w:rsidRPr="00F61BE7" w:rsidRDefault="00264C88" w:rsidP="00264C88">
            <w:pPr>
              <w:jc w:val="both"/>
              <w:rPr>
                <w:lang w:val="en-GB"/>
              </w:rPr>
            </w:pPr>
            <w:r w:rsidRPr="00F61BE7">
              <w:rPr>
                <w:lang w:val="en-GB"/>
              </w:rPr>
              <w:t>• Reducing the need for costly rework</w:t>
            </w:r>
          </w:p>
          <w:p w:rsidR="001E3BDA" w:rsidRPr="00F61BE7" w:rsidRDefault="00264C88" w:rsidP="00264C88">
            <w:pPr>
              <w:jc w:val="both"/>
              <w:rPr>
                <w:lang w:val="en-GB"/>
              </w:rPr>
            </w:pPr>
            <w:r w:rsidRPr="00F61BE7">
              <w:rPr>
                <w:lang w:val="en-GB"/>
              </w:rPr>
              <w:t>• Lowering health and safety risks</w:t>
            </w:r>
          </w:p>
        </w:tc>
        <w:tc>
          <w:tcPr>
            <w:tcW w:w="4786" w:type="dxa"/>
          </w:tcPr>
          <w:p w:rsidR="001E3BDA" w:rsidRPr="00F61BE7" w:rsidRDefault="001E3BDA">
            <w:pPr>
              <w:rPr>
                <w:lang w:val="en-GB"/>
              </w:rPr>
            </w:pPr>
          </w:p>
        </w:tc>
      </w:tr>
    </w:tbl>
    <w:p w:rsidR="00B14097" w:rsidRPr="00315D67" w:rsidRDefault="0064718F">
      <w:r w:rsidRPr="00315D67">
        <w:rPr>
          <w:i/>
        </w:rPr>
        <w:t xml:space="preserve">Подсказка: </w:t>
      </w:r>
      <w:proofErr w:type="spellStart"/>
      <w:r w:rsidR="00264C88" w:rsidRPr="00F61BE7">
        <w:rPr>
          <w:i/>
          <w:lang w:val="en-GB"/>
        </w:rPr>
        <w:t>CompanyName</w:t>
      </w:r>
      <w:proofErr w:type="spellEnd"/>
      <w:r w:rsidR="00264C88" w:rsidRPr="00F61BE7">
        <w:rPr>
          <w:i/>
          <w:lang w:val="en-GB"/>
        </w:rPr>
        <w:t> </w:t>
      </w:r>
      <w:r w:rsidR="00264C88" w:rsidRPr="00315D67">
        <w:rPr>
          <w:i/>
        </w:rPr>
        <w:t>— название компании, переводить не нужно</w:t>
      </w:r>
    </w:p>
    <w:sectPr w:rsidR="00B14097" w:rsidRPr="0031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5"/>
    <w:rsid w:val="00011664"/>
    <w:rsid w:val="00020134"/>
    <w:rsid w:val="000B7F45"/>
    <w:rsid w:val="0015425B"/>
    <w:rsid w:val="00164EC5"/>
    <w:rsid w:val="001E3BDA"/>
    <w:rsid w:val="00207394"/>
    <w:rsid w:val="00213E7F"/>
    <w:rsid w:val="00244C26"/>
    <w:rsid w:val="00264C88"/>
    <w:rsid w:val="0029192D"/>
    <w:rsid w:val="00315D67"/>
    <w:rsid w:val="00463E12"/>
    <w:rsid w:val="00476BC7"/>
    <w:rsid w:val="004A7276"/>
    <w:rsid w:val="00554DAD"/>
    <w:rsid w:val="0064718F"/>
    <w:rsid w:val="006A49D1"/>
    <w:rsid w:val="006A7A78"/>
    <w:rsid w:val="006C2327"/>
    <w:rsid w:val="006E6B38"/>
    <w:rsid w:val="00714761"/>
    <w:rsid w:val="007E71B8"/>
    <w:rsid w:val="00843AC8"/>
    <w:rsid w:val="008730CE"/>
    <w:rsid w:val="0088718F"/>
    <w:rsid w:val="008B1EEA"/>
    <w:rsid w:val="00900B55"/>
    <w:rsid w:val="00921440"/>
    <w:rsid w:val="009E3D72"/>
    <w:rsid w:val="00A16E4E"/>
    <w:rsid w:val="00A903CE"/>
    <w:rsid w:val="00B14097"/>
    <w:rsid w:val="00B5600B"/>
    <w:rsid w:val="00B61E43"/>
    <w:rsid w:val="00BF5C26"/>
    <w:rsid w:val="00C25B12"/>
    <w:rsid w:val="00C778A0"/>
    <w:rsid w:val="00CD1B3C"/>
    <w:rsid w:val="00CD5104"/>
    <w:rsid w:val="00E12A35"/>
    <w:rsid w:val="00E5189B"/>
    <w:rsid w:val="00E7227A"/>
    <w:rsid w:val="00EA41C4"/>
    <w:rsid w:val="00F61BE7"/>
    <w:rsid w:val="00F6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315D6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315D6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Chernyuk Anton</dc:creator>
  <cp:keywords/>
  <dc:description/>
  <cp:lastModifiedBy>Новая Варя</cp:lastModifiedBy>
  <cp:revision>41</cp:revision>
  <dcterms:created xsi:type="dcterms:W3CDTF">2017-11-14T16:23:00Z</dcterms:created>
  <dcterms:modified xsi:type="dcterms:W3CDTF">2017-12-10T20:40:00Z</dcterms:modified>
</cp:coreProperties>
</file>