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F3" w:rsidRPr="002F4076" w:rsidRDefault="00646DF3" w:rsidP="00646DF3">
      <w:pPr>
        <w:rPr>
          <w:rFonts w:ascii="Arial" w:hAnsi="Arial" w:cs="Arial"/>
          <w:sz w:val="20"/>
          <w:szCs w:val="20"/>
        </w:rPr>
      </w:pPr>
      <w:r w:rsidRPr="002F4076">
        <w:rPr>
          <w:rFonts w:ascii="Arial" w:hAnsi="Arial" w:cs="Arial"/>
          <w:b/>
          <w:i/>
          <w:color w:val="000000"/>
          <w:sz w:val="20"/>
          <w:szCs w:val="20"/>
        </w:rPr>
        <w:t xml:space="preserve">Фамилия переводчика: </w:t>
      </w:r>
    </w:p>
    <w:p w:rsidR="00646DF3" w:rsidRPr="002F4076" w:rsidRDefault="00646DF3" w:rsidP="00646DF3">
      <w:pPr>
        <w:rPr>
          <w:rFonts w:ascii="Arial" w:hAnsi="Arial" w:cs="Arial"/>
          <w:sz w:val="20"/>
          <w:szCs w:val="20"/>
        </w:rPr>
      </w:pPr>
      <w:r w:rsidRPr="002F4076">
        <w:rPr>
          <w:rFonts w:ascii="Arial" w:hAnsi="Arial" w:cs="Arial"/>
          <w:b/>
          <w:i/>
          <w:color w:val="000000"/>
          <w:sz w:val="20"/>
          <w:szCs w:val="20"/>
        </w:rPr>
        <w:t xml:space="preserve">Направление перевода: </w:t>
      </w:r>
      <w:r>
        <w:rPr>
          <w:rFonts w:ascii="Arial" w:hAnsi="Arial" w:cs="Arial"/>
          <w:i/>
          <w:color w:val="000000"/>
          <w:sz w:val="20"/>
          <w:szCs w:val="20"/>
        </w:rPr>
        <w:t>английский</w:t>
      </w:r>
      <w:r w:rsidRPr="002F4076">
        <w:rPr>
          <w:rFonts w:ascii="Arial" w:hAnsi="Arial" w:cs="Arial"/>
          <w:i/>
          <w:color w:val="000000"/>
          <w:sz w:val="20"/>
          <w:szCs w:val="20"/>
        </w:rPr>
        <w:t xml:space="preserve"> -&gt; </w:t>
      </w:r>
      <w:r>
        <w:rPr>
          <w:rFonts w:ascii="Arial" w:hAnsi="Arial" w:cs="Arial"/>
          <w:i/>
          <w:color w:val="000000"/>
          <w:sz w:val="20"/>
          <w:szCs w:val="20"/>
        </w:rPr>
        <w:t>русский</w:t>
      </w:r>
    </w:p>
    <w:p w:rsidR="00646DF3" w:rsidRPr="002F4076" w:rsidRDefault="00646DF3" w:rsidP="00646DF3">
      <w:pPr>
        <w:rPr>
          <w:rFonts w:ascii="Arial" w:hAnsi="Arial" w:cs="Arial"/>
          <w:i/>
          <w:color w:val="000000"/>
          <w:sz w:val="20"/>
          <w:szCs w:val="20"/>
        </w:rPr>
      </w:pPr>
      <w:r w:rsidRPr="002F4076">
        <w:rPr>
          <w:rFonts w:ascii="Arial" w:hAnsi="Arial" w:cs="Arial"/>
          <w:b/>
          <w:i/>
          <w:color w:val="000000"/>
          <w:sz w:val="20"/>
          <w:szCs w:val="20"/>
        </w:rPr>
        <w:t xml:space="preserve">Предметная область: </w:t>
      </w:r>
      <w:r w:rsidRPr="00646DF3">
        <w:rPr>
          <w:rFonts w:ascii="Arial" w:hAnsi="Arial" w:cs="Arial"/>
          <w:i/>
          <w:color w:val="000000"/>
          <w:sz w:val="20"/>
          <w:szCs w:val="20"/>
        </w:rPr>
        <w:t>инженерно-технически</w:t>
      </w:r>
      <w:r>
        <w:rPr>
          <w:rFonts w:ascii="Arial" w:hAnsi="Arial" w:cs="Arial"/>
          <w:i/>
          <w:color w:val="000000"/>
          <w:sz w:val="20"/>
          <w:szCs w:val="20"/>
        </w:rPr>
        <w:t>е сооружения, машиностроение</w:t>
      </w:r>
    </w:p>
    <w:p w:rsidR="00675C70" w:rsidRDefault="00675C70" w:rsidP="00D30203">
      <w:pPr>
        <w:rPr>
          <w:rFonts w:ascii="Arial" w:hAnsi="Arial" w:cs="Arial"/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75C70" w:rsidRPr="006A61DF" w:rsidTr="007C5350">
        <w:tc>
          <w:tcPr>
            <w:tcW w:w="4926" w:type="dxa"/>
          </w:tcPr>
          <w:p w:rsidR="00675C70" w:rsidRPr="006A61DF" w:rsidRDefault="00675C70" w:rsidP="007803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A61DF">
              <w:rPr>
                <w:rFonts w:ascii="Arial" w:hAnsi="Arial" w:cs="Arial"/>
                <w:b/>
                <w:sz w:val="20"/>
                <w:szCs w:val="20"/>
              </w:rPr>
              <w:t>Часть 1.</w:t>
            </w:r>
          </w:p>
        </w:tc>
        <w:tc>
          <w:tcPr>
            <w:tcW w:w="4927" w:type="dxa"/>
          </w:tcPr>
          <w:p w:rsidR="00675C70" w:rsidRPr="006A61DF" w:rsidRDefault="00675C70" w:rsidP="007803D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Gabion is a modular system for reinforcing of soil structures with an inclined stone facing. The facing is made up of a steel double twisted wire meshes whose wires are heavily galvanized with </w:t>
            </w:r>
            <w:proofErr w:type="spell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Zn-5%Al</w:t>
            </w:r>
            <w:proofErr w:type="spell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alloy. The tensile forces are transferred to the reinforcement by friction. 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Gabion is an environmentally friendly system used for soil reinf</w:t>
            </w:r>
            <w:bookmarkStart w:id="0" w:name="_GoBack"/>
            <w:bookmarkEnd w:id="0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orcement in compliance with CPR 305/2011. To assemble and connect its elements, pneumatic or manual lacing guns, C-rings, compressor system (6-8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bar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), air pipe (of max 10 mm) will be required as an alternative to lacing wire.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Compaction of the structural fill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shall be performed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to 95% of Standard Proctor. If the water content is high, the material must be dried by aeration as approved in advance by the Geotechnical Engineer, Construction Design, and Technical Specifications.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The degree of compaction shall be verified by plate bearing tests, whose frequency and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acceptable E modulus values shall be defined by the Geotechnical Engineer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Reinforced soil structures shall be made of a good quality, free draining,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granular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and/or selected fill with geotechnical characteristics specified by the Engineer or given in the Technical Specifications or actual codes (EN 14475). 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The structural soil material shall not contain particles ≥ 150 mm and the percentage of the examined sample bigger that 100 mm shall be less than 15%. The soil that, after tests, has shown frictions angle lower than those assumed in the design shall not be used. Typical recommendations for structural soils (such as those by </w:t>
            </w:r>
            <w:proofErr w:type="spell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FHWA</w:t>
            </w:r>
            <w:proofErr w:type="spell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) limit the fine contents to avoid plasticization of the soils.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4549DB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4549DB">
              <w:rPr>
                <w:rFonts w:ascii="Arial" w:hAnsi="Arial" w:cs="Arial"/>
                <w:b/>
                <w:sz w:val="20"/>
                <w:szCs w:val="20"/>
              </w:rPr>
              <w:t>Часть 2.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PLLD (Pressurized Line Leak Detection) is an electronic console detection system for continual protection of fuel lines that run from the pump head to the dispensers. It uses a series of tests: gross tests (3.0 gph test) and precision tests (0.1 gph test). These tests are run either after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a dispense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(when scheduled) or when you request them to be run (manual).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The gross (3.0 </w:t>
            </w:r>
            <w:proofErr w:type="spell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gph</w:t>
            </w:r>
            <w:proofErr w:type="spell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) test is a "pump off" test and usually takes less than a minute. The system will attempt to run a gross test at the end of every dispense event, although only one gross test is run at a time.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Use this installation procedure to install a PLLD transducer in a pump: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  <w:r w:rsidR="006A61D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Switch Off, tag, and lockout all AC power to the control console, dispensers and submersible </w:t>
            </w: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pumps.</w:t>
            </w:r>
          </w:p>
          <w:p w:rsidR="00675C70" w:rsidRPr="004549DB" w:rsidRDefault="00675C70" w:rsidP="007803D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  <w:r w:rsidR="006A61D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If a butterfly valve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is installed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down line from the pump, close it.</w:t>
            </w:r>
          </w:p>
          <w:p w:rsidR="00675C70" w:rsidRPr="004549DB" w:rsidRDefault="00675C70" w:rsidP="007803D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6A61D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Ensure that the sealing surface for the check valve’s </w:t>
            </w:r>
            <w:proofErr w:type="spell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o-ring</w:t>
            </w:r>
            <w:proofErr w:type="spell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is smooth and free from corrosion and build-up. Failure to ensure a smooth seal surface can result in false line leak alarms.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4549DB" w:rsidRDefault="00675C70" w:rsidP="007803D8">
            <w:pPr>
              <w:spacing w:after="120"/>
              <w:ind w:left="28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4.</w:t>
            </w:r>
            <w:r w:rsidR="006A61DF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Get a watertight cord grip from the transducer installation kit and coat its 1/2” </w:t>
            </w:r>
            <w:proofErr w:type="spell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NPT</w:t>
            </w:r>
            <w:proofErr w:type="spell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threaded end with UL-classified, nontoxic pipe sealant suitable for the fuel involved. Screw the cord grip into one of the openings in the weatherproof junction box. </w:t>
            </w:r>
          </w:p>
        </w:tc>
        <w:tc>
          <w:tcPr>
            <w:tcW w:w="4927" w:type="dxa"/>
          </w:tcPr>
          <w:p w:rsidR="00675C70" w:rsidRPr="004549DB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C70" w:rsidRPr="006A61DF" w:rsidTr="007C5350">
        <w:tc>
          <w:tcPr>
            <w:tcW w:w="4926" w:type="dxa"/>
          </w:tcPr>
          <w:p w:rsidR="00675C70" w:rsidRPr="00D30203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Because the </w:t>
            </w:r>
            <w:proofErr w:type="spell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PLLD</w:t>
            </w:r>
            <w:proofErr w:type="spell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transducer </w:t>
            </w:r>
            <w:proofErr w:type="gramStart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>must be installed</w:t>
            </w:r>
            <w:proofErr w:type="gramEnd"/>
            <w:r w:rsidRPr="004549DB">
              <w:rPr>
                <w:rFonts w:ascii="Arial" w:hAnsi="Arial" w:cs="Arial"/>
                <w:sz w:val="20"/>
                <w:szCs w:val="20"/>
                <w:lang w:val="en-US"/>
              </w:rPr>
              <w:t xml:space="preserve"> downstream from these devices, a monitored containment sump is required.</w:t>
            </w:r>
          </w:p>
        </w:tc>
        <w:tc>
          <w:tcPr>
            <w:tcW w:w="4927" w:type="dxa"/>
          </w:tcPr>
          <w:p w:rsidR="00675C70" w:rsidRPr="00D30203" w:rsidRDefault="00675C70" w:rsidP="007803D8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75C70" w:rsidRPr="00675C70" w:rsidRDefault="00675C70" w:rsidP="00D30203">
      <w:pPr>
        <w:rPr>
          <w:rFonts w:ascii="Arial" w:hAnsi="Arial" w:cs="Arial"/>
          <w:sz w:val="20"/>
          <w:szCs w:val="20"/>
          <w:lang w:val="en-US"/>
        </w:rPr>
      </w:pPr>
    </w:p>
    <w:sectPr w:rsidR="00675C70" w:rsidRPr="00675C70" w:rsidSect="00D30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15"/>
    <w:rsid w:val="00054860"/>
    <w:rsid w:val="000B1D7B"/>
    <w:rsid w:val="000B1FED"/>
    <w:rsid w:val="001400E4"/>
    <w:rsid w:val="00181D06"/>
    <w:rsid w:val="001825BC"/>
    <w:rsid w:val="001C785E"/>
    <w:rsid w:val="002057FC"/>
    <w:rsid w:val="002630B9"/>
    <w:rsid w:val="0033173D"/>
    <w:rsid w:val="003729FA"/>
    <w:rsid w:val="003F4215"/>
    <w:rsid w:val="004549DB"/>
    <w:rsid w:val="004A5456"/>
    <w:rsid w:val="004B4334"/>
    <w:rsid w:val="004E3073"/>
    <w:rsid w:val="0053020A"/>
    <w:rsid w:val="00542146"/>
    <w:rsid w:val="00555A89"/>
    <w:rsid w:val="0059205D"/>
    <w:rsid w:val="00602E6A"/>
    <w:rsid w:val="00646DF3"/>
    <w:rsid w:val="00675C70"/>
    <w:rsid w:val="006A61DF"/>
    <w:rsid w:val="006F3779"/>
    <w:rsid w:val="00732AE4"/>
    <w:rsid w:val="007803D8"/>
    <w:rsid w:val="007A0F15"/>
    <w:rsid w:val="009B3824"/>
    <w:rsid w:val="009D0736"/>
    <w:rsid w:val="00BE79B8"/>
    <w:rsid w:val="00BE7E56"/>
    <w:rsid w:val="00BF7E7E"/>
    <w:rsid w:val="00C036DB"/>
    <w:rsid w:val="00C552F8"/>
    <w:rsid w:val="00C61FBB"/>
    <w:rsid w:val="00CE6604"/>
    <w:rsid w:val="00D16401"/>
    <w:rsid w:val="00D30203"/>
    <w:rsid w:val="00D54B45"/>
    <w:rsid w:val="00DE0C7E"/>
    <w:rsid w:val="00EF3EE7"/>
    <w:rsid w:val="00F27E67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73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73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730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73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730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7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30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FD7301"/>
  </w:style>
  <w:style w:type="table" w:styleId="ab">
    <w:name w:val="Table Grid"/>
    <w:basedOn w:val="a1"/>
    <w:uiPriority w:val="59"/>
    <w:rsid w:val="00D3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D730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D730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D730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D730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D730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D7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30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FD7301"/>
  </w:style>
  <w:style w:type="table" w:styleId="ab">
    <w:name w:val="Table Grid"/>
    <w:basedOn w:val="a1"/>
    <w:uiPriority w:val="59"/>
    <w:rsid w:val="00D30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2790</Characters>
  <Application>Microsoft Office Word</Application>
  <DocSecurity>0</DocSecurity>
  <Lines>47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2021-04-06T13:51:00Z</dcterms:created>
  <dcterms:modified xsi:type="dcterms:W3CDTF">2021-04-07T13:30:00Z</dcterms:modified>
</cp:coreProperties>
</file>