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Фамилия переводчика ________________</w:t>
      </w:r>
    </w:p>
    <w:p w:rsidR="007269B7" w:rsidRPr="007269B7" w:rsidRDefault="007269B7" w:rsidP="007269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Направление перевода</w:t>
      </w:r>
      <w:r w:rsidRPr="00C64924">
        <w:rPr>
          <w:rFonts w:ascii="Arial" w:eastAsia="Times New Roman" w:hAnsi="Arial" w:cs="Arial"/>
          <w:b/>
          <w:i/>
          <w:sz w:val="24"/>
          <w:szCs w:val="24"/>
        </w:rPr>
        <w:t>: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C6492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Английски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>й</w:t>
      </w:r>
      <w:r>
        <w:rPr>
          <w:rFonts w:ascii="Arial" w:eastAsia="Times New Roman" w:hAnsi="Arial" w:cs="Arial"/>
          <w:i/>
          <w:sz w:val="24"/>
          <w:szCs w:val="24"/>
        </w:rPr>
        <w:t>-</w:t>
      </w:r>
      <w:proofErr w:type="gramEnd"/>
      <w:r w:rsidRPr="007269B7">
        <w:rPr>
          <w:rFonts w:ascii="Arial" w:eastAsia="Times New Roman" w:hAnsi="Arial" w:cs="Arial"/>
          <w:i/>
          <w:sz w:val="24"/>
          <w:szCs w:val="24"/>
        </w:rPr>
        <w:t>&gt;</w:t>
      </w:r>
      <w:r>
        <w:rPr>
          <w:rFonts w:ascii="Arial" w:eastAsia="Times New Roman" w:hAnsi="Arial" w:cs="Arial"/>
          <w:i/>
          <w:sz w:val="24"/>
          <w:szCs w:val="24"/>
        </w:rPr>
        <w:t>Русский</w:t>
      </w:r>
    </w:p>
    <w:p w:rsidR="007269B7" w:rsidRDefault="007269B7" w:rsidP="007269B7">
      <w:pPr>
        <w:widowControl w:val="0"/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Предметная область: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7269B7">
        <w:rPr>
          <w:rFonts w:ascii="Arial" w:eastAsia="Times New Roman" w:hAnsi="Arial" w:cs="Arial"/>
          <w:i/>
          <w:sz w:val="24"/>
          <w:szCs w:val="24"/>
        </w:rPr>
        <w:t>Нефтедоб</w:t>
      </w:r>
      <w:r>
        <w:rPr>
          <w:rFonts w:ascii="Arial" w:eastAsia="Times New Roman" w:hAnsi="Arial" w:cs="Arial"/>
          <w:i/>
          <w:sz w:val="24"/>
          <w:szCs w:val="24"/>
        </w:rPr>
        <w:t>ыча</w:t>
      </w:r>
      <w:r w:rsidRPr="007269B7">
        <w:rPr>
          <w:rFonts w:ascii="Arial" w:eastAsia="Times New Roman" w:hAnsi="Arial" w:cs="Arial"/>
          <w:i/>
          <w:sz w:val="24"/>
          <w:szCs w:val="24"/>
        </w:rPr>
        <w:t xml:space="preserve"> - описание проекта</w:t>
      </w: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Примечание 1:</w:t>
      </w:r>
      <w:r w:rsidRPr="00C64924">
        <w:rPr>
          <w:rFonts w:ascii="Arial" w:eastAsia="Times New Roman" w:hAnsi="Arial" w:cs="Arial"/>
          <w:i/>
          <w:sz w:val="24"/>
          <w:szCs w:val="24"/>
        </w:rPr>
        <w:t xml:space="preserve"> Необходимо сделать перевод приведенного ниже фрагмента текста. </w:t>
      </w: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Примечание 2:</w:t>
      </w:r>
      <w:r w:rsidRPr="00C64924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П</w:t>
      </w:r>
      <w:r w:rsidRPr="00C64924">
        <w:rPr>
          <w:rFonts w:ascii="Arial" w:eastAsia="Times New Roman" w:hAnsi="Arial" w:cs="Arial"/>
          <w:i/>
          <w:sz w:val="24"/>
          <w:szCs w:val="24"/>
        </w:rPr>
        <w:t>еревод текста размещается под оригиналом.</w:t>
      </w: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269B7" w:rsidRPr="007269B7" w:rsidRDefault="007269B7" w:rsidP="007269B7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C64924">
        <w:rPr>
          <w:rFonts w:ascii="Arial" w:eastAsia="Times New Roman" w:hAnsi="Arial" w:cs="Arial"/>
          <w:b/>
          <w:u w:val="single"/>
        </w:rPr>
        <w:t>Оригинал</w:t>
      </w:r>
      <w:r w:rsidRPr="007269B7">
        <w:rPr>
          <w:rFonts w:ascii="Arial" w:eastAsia="Times New Roman" w:hAnsi="Arial" w:cs="Arial"/>
          <w:b/>
          <w:u w:val="single"/>
          <w:lang w:val="en-US"/>
        </w:rPr>
        <w:t>:</w:t>
      </w:r>
    </w:p>
    <w:p w:rsidR="00CF7C85" w:rsidRDefault="00CF7C85" w:rsidP="00CF7C85">
      <w:pPr>
        <w:widowControl w:val="0"/>
        <w:spacing w:before="100" w:beforeAutospacing="1" w:after="100" w:afterAutospacing="1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 xml:space="preserve">The reservoir development strategy is presented in </w:t>
      </w:r>
      <w:r>
        <w:rPr>
          <w:rFonts w:cs="Arial"/>
          <w:lang w:val="en-GB" w:eastAsia="en-GB"/>
        </w:rPr>
        <w:fldChar w:fldCharType="begin"/>
      </w:r>
      <w:r>
        <w:rPr>
          <w:rFonts w:cs="Arial"/>
          <w:lang w:val="en-GB" w:eastAsia="en-GB"/>
        </w:rPr>
        <w:instrText xml:space="preserve"> REF _Ref465256648 \h </w:instrText>
      </w:r>
      <w:r>
        <w:rPr>
          <w:rFonts w:cs="Arial"/>
          <w:lang w:val="en-GB" w:eastAsia="en-GB"/>
        </w:rPr>
      </w:r>
      <w:r>
        <w:rPr>
          <w:rFonts w:cs="Arial"/>
          <w:lang w:val="en-GB" w:eastAsia="en-GB"/>
        </w:rPr>
        <w:fldChar w:fldCharType="separate"/>
      </w:r>
      <w:r w:rsidRPr="00FC3C15">
        <w:rPr>
          <w:lang w:val="en-GB"/>
        </w:rPr>
        <w:t xml:space="preserve">Table </w:t>
      </w:r>
      <w:r>
        <w:rPr>
          <w:noProof/>
          <w:lang w:val="en-GB"/>
        </w:rPr>
        <w:t>4</w:t>
      </w:r>
      <w:r>
        <w:rPr>
          <w:lang w:val="en-GB"/>
        </w:rPr>
        <w:noBreakHyphen/>
      </w:r>
      <w:r>
        <w:rPr>
          <w:noProof/>
          <w:lang w:val="en-GB"/>
        </w:rPr>
        <w:t>2</w:t>
      </w:r>
      <w:r>
        <w:rPr>
          <w:rFonts w:cs="Arial"/>
          <w:lang w:val="en-GB" w:eastAsia="en-GB"/>
        </w:rPr>
        <w:fldChar w:fldCharType="end"/>
      </w:r>
      <w:r>
        <w:rPr>
          <w:rFonts w:cs="Arial"/>
          <w:lang w:val="en-GB" w:eastAsia="en-GB"/>
        </w:rPr>
        <w:t xml:space="preserve">. Two cases are described; one case is the </w:t>
      </w:r>
      <w:proofErr w:type="spellStart"/>
      <w:r>
        <w:rPr>
          <w:rFonts w:cs="Arial"/>
          <w:lang w:val="en-GB" w:eastAsia="en-GB"/>
        </w:rPr>
        <w:t>Rosneft</w:t>
      </w:r>
      <w:proofErr w:type="spellEnd"/>
      <w:r>
        <w:rPr>
          <w:rFonts w:cs="Arial"/>
          <w:lang w:val="en-GB" w:eastAsia="en-GB"/>
        </w:rPr>
        <w:t xml:space="preserve"> Base case which is a conservative case, and the other case is the optimized case from the project group. Note that the same reservoir model is used. The differences </w:t>
      </w:r>
      <w:proofErr w:type="gramStart"/>
      <w:r>
        <w:rPr>
          <w:rFonts w:cs="Arial"/>
          <w:lang w:val="en-GB" w:eastAsia="en-GB"/>
        </w:rPr>
        <w:t>are  residual</w:t>
      </w:r>
      <w:proofErr w:type="gramEnd"/>
      <w:r>
        <w:rPr>
          <w:rFonts w:cs="Arial"/>
          <w:lang w:val="en-GB" w:eastAsia="en-GB"/>
        </w:rPr>
        <w:t xml:space="preserve"> oil saturation (20% in PG model and 32% in the </w:t>
      </w:r>
      <w:proofErr w:type="spellStart"/>
      <w:r>
        <w:rPr>
          <w:rFonts w:cs="Arial"/>
          <w:lang w:val="en-GB" w:eastAsia="en-GB"/>
        </w:rPr>
        <w:t>Rosneft</w:t>
      </w:r>
      <w:proofErr w:type="spellEnd"/>
      <w:r>
        <w:rPr>
          <w:rFonts w:cs="Arial"/>
          <w:lang w:val="en-GB" w:eastAsia="en-GB"/>
        </w:rPr>
        <w:t xml:space="preserve"> base case), well spacing (200 vs. 300 m ),  well lengths in west (1500 m vs 2000 m) and minimum oil producer bottom hole pressure (70 bar vs. 80bar ).</w:t>
      </w:r>
    </w:p>
    <w:p w:rsidR="00686158" w:rsidRDefault="00CF7C85" w:rsidP="00CF7C85">
      <w:pPr>
        <w:rPr>
          <w:rFonts w:cs="Arial"/>
          <w:lang w:val="en-GB" w:eastAsia="en-GB"/>
        </w:rPr>
      </w:pPr>
      <w:r w:rsidRPr="005B4EBB">
        <w:rPr>
          <w:rFonts w:cs="Arial"/>
          <w:lang w:val="en-GB" w:eastAsia="en-GB"/>
        </w:rPr>
        <w:t xml:space="preserve">Reservoir pressure maintenance is by full </w:t>
      </w:r>
      <w:proofErr w:type="spellStart"/>
      <w:r w:rsidRPr="005B4EBB">
        <w:rPr>
          <w:rFonts w:cs="Arial"/>
          <w:lang w:val="en-GB" w:eastAsia="en-GB"/>
        </w:rPr>
        <w:t>voidage</w:t>
      </w:r>
      <w:proofErr w:type="spellEnd"/>
      <w:r w:rsidRPr="005B4EBB">
        <w:rPr>
          <w:rFonts w:cs="Arial"/>
          <w:lang w:val="en-GB" w:eastAsia="en-GB"/>
        </w:rPr>
        <w:t xml:space="preserve"> replacement, produced water re-injection (PWRI) is the main production strategy for the full field development. Injection water will be a mix of associated production water from oil production wells and water from dedicated water producers. T</w:t>
      </w:r>
      <w:r>
        <w:rPr>
          <w:rFonts w:cs="Arial"/>
          <w:lang w:val="en-GB" w:eastAsia="en-GB"/>
        </w:rPr>
        <w:t>he produced water will be clean</w:t>
      </w:r>
      <w:r w:rsidRPr="005B4EBB">
        <w:rPr>
          <w:rFonts w:cs="Arial"/>
          <w:lang w:val="en-GB" w:eastAsia="en-GB"/>
        </w:rPr>
        <w:t xml:space="preserve">ed to low </w:t>
      </w:r>
      <w:proofErr w:type="spellStart"/>
      <w:r w:rsidRPr="005B4EBB">
        <w:rPr>
          <w:rFonts w:cs="Arial"/>
          <w:lang w:val="en-GB" w:eastAsia="en-GB"/>
        </w:rPr>
        <w:t>OiW</w:t>
      </w:r>
      <w:proofErr w:type="spellEnd"/>
      <w:r w:rsidRPr="005B4EBB">
        <w:rPr>
          <w:rFonts w:cs="Arial"/>
          <w:lang w:val="en-GB" w:eastAsia="en-GB"/>
        </w:rPr>
        <w:t xml:space="preserve"> and solid content</w:t>
      </w:r>
      <w:r>
        <w:rPr>
          <w:rFonts w:cs="Arial"/>
          <w:lang w:val="en-GB" w:eastAsia="en-GB"/>
        </w:rPr>
        <w:t xml:space="preserve"> t</w:t>
      </w:r>
      <w:r w:rsidRPr="005B4EBB">
        <w:rPr>
          <w:rFonts w:cs="Arial"/>
          <w:lang w:val="en-GB" w:eastAsia="en-GB"/>
        </w:rPr>
        <w:t>o prevent plugging during injection</w:t>
      </w:r>
      <w:r>
        <w:rPr>
          <w:rFonts w:cs="Arial"/>
          <w:lang w:val="en-GB" w:eastAsia="en-GB"/>
        </w:rPr>
        <w:t>, as specified in chapter 4.</w:t>
      </w:r>
    </w:p>
    <w:p w:rsidR="00CF7C85" w:rsidRDefault="00CF7C85" w:rsidP="00CF7C85">
      <w:pPr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fldChar w:fldCharType="begin"/>
      </w:r>
      <w:r>
        <w:rPr>
          <w:rFonts w:cs="Arial"/>
          <w:lang w:val="en-GB" w:eastAsia="en-GB"/>
        </w:rPr>
        <w:instrText xml:space="preserve"> REF _Ref465435845 \h </w:instrText>
      </w:r>
      <w:r>
        <w:rPr>
          <w:rFonts w:cs="Arial"/>
          <w:lang w:val="en-GB" w:eastAsia="en-GB"/>
        </w:rPr>
      </w:r>
      <w:r>
        <w:rPr>
          <w:rFonts w:cs="Arial"/>
          <w:lang w:val="en-GB" w:eastAsia="en-GB"/>
        </w:rPr>
        <w:fldChar w:fldCharType="separate"/>
      </w:r>
      <w:r w:rsidRPr="000F2BDF">
        <w:rPr>
          <w:lang w:val="en-GB"/>
        </w:rPr>
        <w:t xml:space="preserve">Table </w:t>
      </w:r>
      <w:r>
        <w:rPr>
          <w:noProof/>
          <w:lang w:val="en-GB"/>
        </w:rPr>
        <w:t>4</w:t>
      </w:r>
      <w:r>
        <w:rPr>
          <w:lang w:val="en-GB"/>
        </w:rPr>
        <w:noBreakHyphen/>
      </w:r>
      <w:r>
        <w:rPr>
          <w:noProof/>
          <w:lang w:val="en-GB"/>
        </w:rPr>
        <w:t>3</w:t>
      </w:r>
      <w:r>
        <w:rPr>
          <w:rFonts w:cs="Arial"/>
          <w:lang w:val="en-GB" w:eastAsia="en-GB"/>
        </w:rPr>
        <w:fldChar w:fldCharType="end"/>
      </w:r>
      <w:r>
        <w:rPr>
          <w:rFonts w:cs="Arial"/>
          <w:lang w:val="en-GB" w:eastAsia="en-GB"/>
        </w:rPr>
        <w:t xml:space="preserve"> and </w:t>
      </w:r>
      <w:r>
        <w:rPr>
          <w:rFonts w:cs="Arial"/>
          <w:lang w:val="en-GB" w:eastAsia="en-GB"/>
        </w:rPr>
        <w:fldChar w:fldCharType="begin"/>
      </w:r>
      <w:r>
        <w:rPr>
          <w:rFonts w:cs="Arial"/>
          <w:lang w:val="en-GB" w:eastAsia="en-GB"/>
        </w:rPr>
        <w:instrText xml:space="preserve"> REF _Ref465322346 \h </w:instrText>
      </w:r>
      <w:r>
        <w:rPr>
          <w:rFonts w:cs="Arial"/>
          <w:lang w:val="en-GB" w:eastAsia="en-GB"/>
        </w:rPr>
      </w:r>
      <w:r>
        <w:rPr>
          <w:rFonts w:cs="Arial"/>
          <w:lang w:val="en-GB" w:eastAsia="en-GB"/>
        </w:rPr>
        <w:fldChar w:fldCharType="separate"/>
      </w:r>
      <w:r w:rsidRPr="002E3297">
        <w:rPr>
          <w:lang w:val="en-US"/>
        </w:rPr>
        <w:t xml:space="preserve">Table </w:t>
      </w:r>
      <w:r>
        <w:rPr>
          <w:noProof/>
          <w:lang w:val="en-US"/>
        </w:rPr>
        <w:t>4</w:t>
      </w:r>
      <w:r>
        <w:rPr>
          <w:lang w:val="en-US"/>
        </w:rPr>
        <w:noBreakHyphen/>
      </w:r>
      <w:r>
        <w:rPr>
          <w:noProof/>
          <w:lang w:val="en-US"/>
        </w:rPr>
        <w:t>4</w:t>
      </w:r>
      <w:r>
        <w:rPr>
          <w:rFonts w:cs="Arial"/>
          <w:lang w:val="en-GB" w:eastAsia="en-GB"/>
        </w:rPr>
        <w:fldChar w:fldCharType="end"/>
      </w:r>
      <w:r>
        <w:rPr>
          <w:rFonts w:cs="Arial"/>
          <w:lang w:val="en-GB" w:eastAsia="en-GB"/>
        </w:rPr>
        <w:t xml:space="preserve"> show some of the case assumptions on well, segment and field level. Main difference is total liquid handling capacity which is 80 KSm</w:t>
      </w:r>
      <w:r w:rsidRPr="00517C46">
        <w:rPr>
          <w:rFonts w:cs="Arial"/>
          <w:vertAlign w:val="superscript"/>
          <w:lang w:val="en-GB" w:eastAsia="en-GB"/>
        </w:rPr>
        <w:t>3</w:t>
      </w:r>
      <w:r>
        <w:rPr>
          <w:rFonts w:cs="Arial"/>
          <w:lang w:val="en-GB" w:eastAsia="en-GB"/>
        </w:rPr>
        <w:t xml:space="preserve"> per day for the optimized base case and 110 000 sm</w:t>
      </w:r>
      <w:r w:rsidRPr="00517C46">
        <w:rPr>
          <w:rFonts w:cs="Arial"/>
          <w:vertAlign w:val="superscript"/>
          <w:lang w:val="en-GB" w:eastAsia="en-GB"/>
        </w:rPr>
        <w:t>3</w:t>
      </w:r>
      <w:r>
        <w:rPr>
          <w:rFonts w:cs="Arial"/>
          <w:lang w:val="en-GB" w:eastAsia="en-GB"/>
        </w:rPr>
        <w:t xml:space="preserve"> per day for the </w:t>
      </w:r>
      <w:proofErr w:type="spellStart"/>
      <w:r>
        <w:rPr>
          <w:rFonts w:cs="Arial"/>
          <w:lang w:val="en-GB" w:eastAsia="en-GB"/>
        </w:rPr>
        <w:t>Rosneft</w:t>
      </w:r>
      <w:proofErr w:type="spellEnd"/>
      <w:r>
        <w:rPr>
          <w:rFonts w:cs="Arial"/>
          <w:lang w:val="en-GB" w:eastAsia="en-GB"/>
        </w:rPr>
        <w:t xml:space="preserve"> case.</w:t>
      </w:r>
      <w:r w:rsidRPr="002E3297">
        <w:rPr>
          <w:rFonts w:cs="Arial"/>
          <w:lang w:val="en-GB" w:eastAsia="en-GB"/>
        </w:rPr>
        <w:t xml:space="preserve"> </w:t>
      </w:r>
      <w:r w:rsidRPr="005B4EBB">
        <w:rPr>
          <w:rFonts w:cs="Arial"/>
          <w:lang w:val="en-GB" w:eastAsia="en-GB"/>
        </w:rPr>
        <w:t>Due to heavy oil and high vertical heterogeneities by interbedded, thin very silty and sandstone layers, a large number of wells targets are required for sufficient reservoir sweep. The to</w:t>
      </w:r>
      <w:r>
        <w:rPr>
          <w:rFonts w:cs="Arial"/>
          <w:lang w:val="en-GB" w:eastAsia="en-GB"/>
        </w:rPr>
        <w:t>t</w:t>
      </w:r>
      <w:r w:rsidRPr="005B4EBB">
        <w:rPr>
          <w:rFonts w:cs="Arial"/>
          <w:lang w:val="en-GB" w:eastAsia="en-GB"/>
        </w:rPr>
        <w:t xml:space="preserve">al number and type of wells within each reservoir </w:t>
      </w:r>
      <w:proofErr w:type="gramStart"/>
      <w:r w:rsidRPr="005B4EBB">
        <w:rPr>
          <w:rFonts w:cs="Arial"/>
          <w:lang w:val="en-GB" w:eastAsia="en-GB"/>
        </w:rPr>
        <w:t>segment,</w:t>
      </w:r>
      <w:proofErr w:type="gramEnd"/>
      <w:r w:rsidRPr="005B4EBB">
        <w:rPr>
          <w:rFonts w:cs="Arial"/>
          <w:lang w:val="en-GB" w:eastAsia="en-GB"/>
        </w:rPr>
        <w:t xml:space="preserve"> are liste</w:t>
      </w:r>
      <w:r>
        <w:rPr>
          <w:rFonts w:cs="Arial"/>
          <w:lang w:val="en-GB" w:eastAsia="en-GB"/>
        </w:rPr>
        <w:t>d</w:t>
      </w:r>
      <w:r w:rsidRPr="005B4EBB">
        <w:rPr>
          <w:rFonts w:cs="Arial"/>
          <w:lang w:val="en-GB" w:eastAsia="en-GB"/>
        </w:rPr>
        <w:t xml:space="preserve"> in</w:t>
      </w:r>
      <w:r>
        <w:rPr>
          <w:rFonts w:cs="Arial"/>
          <w:lang w:val="en-GB" w:eastAsia="en-GB"/>
        </w:rPr>
        <w:t xml:space="preserve"> Chapter 5.</w:t>
      </w:r>
    </w:p>
    <w:p w:rsidR="00CF7C85" w:rsidRDefault="00CF7C85" w:rsidP="00CF7C85">
      <w:pPr>
        <w:widowControl w:val="0"/>
        <w:spacing w:before="100" w:beforeAutospacing="1" w:after="100" w:afterAutospacing="1"/>
        <w:rPr>
          <w:rFonts w:cs="Arial"/>
          <w:lang w:eastAsia="en-GB"/>
        </w:rPr>
      </w:pPr>
      <w:r w:rsidRPr="00517C46">
        <w:rPr>
          <w:rFonts w:cs="Arial"/>
          <w:lang w:val="en-GB" w:eastAsia="en-GB"/>
        </w:rPr>
        <w:t xml:space="preserve">No pre-drilled well are assumed. Drilling and completion schedule after field start up is </w:t>
      </w:r>
      <w:proofErr w:type="gramStart"/>
      <w:r w:rsidRPr="00517C46">
        <w:rPr>
          <w:rFonts w:cs="Arial"/>
          <w:lang w:val="en-GB" w:eastAsia="en-GB"/>
        </w:rPr>
        <w:t>5 wells/mo</w:t>
      </w:r>
      <w:r>
        <w:rPr>
          <w:rFonts w:cs="Arial"/>
          <w:lang w:val="en-GB" w:eastAsia="en-GB"/>
        </w:rPr>
        <w:t>n</w:t>
      </w:r>
      <w:r w:rsidRPr="00517C46">
        <w:rPr>
          <w:rFonts w:cs="Arial"/>
          <w:lang w:val="en-GB" w:eastAsia="en-GB"/>
        </w:rPr>
        <w:t>th</w:t>
      </w:r>
      <w:proofErr w:type="gramEnd"/>
      <w:r w:rsidRPr="00517C46">
        <w:rPr>
          <w:rFonts w:cs="Arial"/>
          <w:lang w:val="en-GB" w:eastAsia="en-GB"/>
        </w:rPr>
        <w:t>.</w:t>
      </w: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64924">
        <w:rPr>
          <w:rFonts w:ascii="Arial" w:eastAsia="Times New Roman" w:hAnsi="Arial" w:cs="Arial"/>
          <w:b/>
          <w:u w:val="single"/>
        </w:rPr>
        <w:t>Перевод:</w:t>
      </w: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69B7" w:rsidRPr="00C64924" w:rsidRDefault="007269B7" w:rsidP="00726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4924">
        <w:rPr>
          <w:rFonts w:ascii="Arial" w:eastAsia="Times New Roman" w:hAnsi="Arial" w:cs="Arial"/>
          <w:sz w:val="20"/>
          <w:szCs w:val="20"/>
          <w:highlight w:val="lightGray"/>
        </w:rPr>
        <w:t>Введите текст перевода.</w:t>
      </w:r>
    </w:p>
    <w:p w:rsidR="007269B7" w:rsidRPr="007269B7" w:rsidRDefault="007269B7" w:rsidP="00CF7C85">
      <w:pPr>
        <w:widowControl w:val="0"/>
        <w:spacing w:before="100" w:beforeAutospacing="1" w:after="100" w:afterAutospacing="1"/>
        <w:rPr>
          <w:rFonts w:cs="Arial"/>
          <w:lang w:eastAsia="en-GB"/>
        </w:rPr>
      </w:pPr>
      <w:bookmarkStart w:id="0" w:name="_GoBack"/>
      <w:bookmarkEnd w:id="0"/>
    </w:p>
    <w:p w:rsidR="00CF7C85" w:rsidRPr="007269B7" w:rsidRDefault="00CF7C85" w:rsidP="00CF7C85">
      <w:pPr>
        <w:rPr>
          <w:lang w:val="en-US"/>
        </w:rPr>
      </w:pPr>
    </w:p>
    <w:sectPr w:rsidR="00CF7C85" w:rsidRPr="0072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2"/>
    <w:rsid w:val="00686158"/>
    <w:rsid w:val="006B5512"/>
    <w:rsid w:val="007269B7"/>
    <w:rsid w:val="00C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Alekseyev Victor</dc:creator>
  <cp:keywords/>
  <dc:description/>
  <cp:lastModifiedBy>Новая Варя</cp:lastModifiedBy>
  <cp:revision>3</cp:revision>
  <dcterms:created xsi:type="dcterms:W3CDTF">2016-11-18T10:57:00Z</dcterms:created>
  <dcterms:modified xsi:type="dcterms:W3CDTF">2016-11-30T13:24:00Z</dcterms:modified>
</cp:coreProperties>
</file>